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ackground w:color="FFFFFF"/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/>
        <w:spacing w:line="576" w:lineRule="exact"/>
        <w:jc w:val="center"/>
        <w:textAlignment w:val="auto"/>
        <w:rPr>
          <w:rFonts w:hint="eastAsia" w:ascii="Times New Roman" w:hAnsi="Times New Roman" w:eastAsia="方正小标宋简体" w:cs="Times New Roman"/>
          <w:sz w:val="44"/>
          <w:szCs w:val="44"/>
          <w:lang w:eastAsia="zh-CN"/>
        </w:rPr>
      </w:pPr>
      <w:r>
        <w:rPr>
          <w:rFonts w:hint="default" w:ascii="Times New Roman" w:hAnsi="Times New Roman" w:eastAsia="方正小标宋简体" w:cs="Times New Roman"/>
          <w:sz w:val="44"/>
          <w:szCs w:val="44"/>
        </w:rPr>
        <w:t>威海经济技术开发区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/>
        <w:spacing w:line="576" w:lineRule="exact"/>
        <w:jc w:val="center"/>
        <w:textAlignment w:val="auto"/>
        <w:rPr>
          <w:rFonts w:hint="default" w:ascii="Times New Roman" w:hAnsi="Times New Roman" w:eastAsia="方正小标宋简体" w:cs="Times New Roman"/>
          <w:sz w:val="44"/>
          <w:szCs w:val="44"/>
        </w:rPr>
      </w:pPr>
      <w:r>
        <w:rPr>
          <w:rFonts w:hint="default" w:ascii="Times New Roman" w:hAnsi="Times New Roman" w:eastAsia="方正小标宋简体" w:cs="Times New Roman"/>
          <w:sz w:val="44"/>
          <w:szCs w:val="44"/>
        </w:rPr>
        <w:t>质量和知识产权专项资金管理办法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/>
        <w:spacing w:line="576" w:lineRule="exact"/>
        <w:jc w:val="left"/>
        <w:textAlignment w:val="auto"/>
        <w:rPr>
          <w:rFonts w:hint="default" w:ascii="Times New Roman" w:hAnsi="Times New Roman" w:eastAsia="楷体_GB2312" w:cs="Times New Roman"/>
          <w:sz w:val="36"/>
          <w:szCs w:val="36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/>
        <w:spacing w:line="576" w:lineRule="exact"/>
        <w:jc w:val="center"/>
        <w:textAlignment w:val="auto"/>
        <w:rPr>
          <w:rFonts w:hint="default" w:ascii="Times New Roman" w:hAnsi="Times New Roman" w:eastAsia="黑体" w:cs="Times New Roman"/>
          <w:sz w:val="32"/>
          <w:szCs w:val="32"/>
        </w:rPr>
      </w:pPr>
      <w:r>
        <w:rPr>
          <w:rFonts w:hint="default" w:ascii="Times New Roman" w:hAnsi="Times New Roman" w:eastAsia="黑体" w:cs="Times New Roman"/>
          <w:sz w:val="32"/>
          <w:szCs w:val="32"/>
        </w:rPr>
        <w:t>第一章 总 则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/>
        <w:spacing w:line="576" w:lineRule="exact"/>
        <w:jc w:val="center"/>
        <w:textAlignment w:val="auto"/>
        <w:rPr>
          <w:rFonts w:hint="default" w:ascii="Times New Roman" w:hAnsi="Times New Roman" w:eastAsia="黑体" w:cs="Times New Roman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/>
        <w:spacing w:line="576" w:lineRule="exact"/>
        <w:ind w:firstLine="632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default" w:ascii="Times New Roman" w:hAnsi="Times New Roman" w:eastAsia="黑体" w:cs="Times New Roman"/>
          <w:sz w:val="32"/>
          <w:szCs w:val="32"/>
        </w:rPr>
        <w:t>第一条</w:t>
      </w:r>
      <w:r>
        <w:rPr>
          <w:rFonts w:hint="default" w:ascii="Times New Roman" w:hAnsi="Times New Roman" w:eastAsia="仿宋_GB2312" w:cs="Times New Roman"/>
          <w:sz w:val="32"/>
          <w:szCs w:val="32"/>
        </w:rPr>
        <w:t xml:space="preserve"> </w:t>
      </w:r>
      <w:r>
        <w:rPr>
          <w:rFonts w:hint="eastAsia" w:ascii="仿宋_GB2312" w:hAnsi="仿宋_GB2312" w:eastAsia="仿宋_GB2312" w:cs="仿宋_GB2312"/>
          <w:sz w:val="32"/>
          <w:szCs w:val="32"/>
        </w:rPr>
        <w:t>为贯彻落实《山东省“十四五”质量发展规划》《山东省“十四五”知识产权保护和运用规划》《威海市人民政府关于加强知识产</w:t>
      </w:r>
      <w:bookmarkStart w:id="1" w:name="_GoBack"/>
      <w:bookmarkEnd w:id="1"/>
      <w:r>
        <w:rPr>
          <w:rFonts w:hint="eastAsia" w:ascii="仿宋_GB2312" w:hAnsi="仿宋_GB2312" w:eastAsia="仿宋_GB2312" w:cs="仿宋_GB2312"/>
          <w:sz w:val="32"/>
          <w:szCs w:val="32"/>
        </w:rPr>
        <w:t>权工作提高企业创新能力的意见》《威海市人民政府关于加快知识产权强市建设的意见》《威海市提标提速提效推动营商环境攻坚突破实施方案》等文件精神，充分发挥质量和知识产权专项资金(以下简称“专项资金”)对实施高质量发展战略的促进和保障作用，不断推动质量和知识产权强区建设，结合实际制定本办法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/>
        <w:spacing w:line="576" w:lineRule="exact"/>
        <w:ind w:firstLine="632" w:firstLineChars="200"/>
        <w:jc w:val="both"/>
        <w:textAlignment w:val="auto"/>
        <w:rPr>
          <w:rFonts w:hint="default" w:ascii="仿宋_GB2312" w:hAnsi="仿宋_GB2312" w:eastAsia="仿宋_GB2312" w:cs="仿宋_GB2312"/>
          <w:sz w:val="32"/>
          <w:szCs w:val="32"/>
        </w:rPr>
      </w:pPr>
      <w:r>
        <w:rPr>
          <w:rFonts w:hint="default" w:ascii="Times New Roman" w:hAnsi="Times New Roman" w:eastAsia="黑体" w:cs="Times New Roman"/>
          <w:sz w:val="32"/>
          <w:szCs w:val="32"/>
        </w:rPr>
        <w:t>第二条</w:t>
      </w:r>
      <w:r>
        <w:rPr>
          <w:rFonts w:hint="default" w:ascii="Times New Roman" w:hAnsi="Times New Roman" w:eastAsia="仿宋_GB2312" w:cs="Times New Roman"/>
          <w:sz w:val="32"/>
          <w:szCs w:val="32"/>
        </w:rPr>
        <w:t xml:space="preserve"> </w:t>
      </w:r>
      <w:r>
        <w:rPr>
          <w:rFonts w:hint="default" w:ascii="仿宋_GB2312" w:hAnsi="仿宋_GB2312" w:eastAsia="仿宋_GB2312" w:cs="仿宋_GB2312"/>
          <w:sz w:val="32"/>
          <w:szCs w:val="32"/>
        </w:rPr>
        <w:t>专项资金的管理与使用，应遵守国家有关法律法规和财政管理制度，按照“公开透明、科学管理、注重实效、利于监督”的原则，充分体现财政资金的引导和带动作用。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/>
        <w:spacing w:line="576" w:lineRule="exact"/>
        <w:ind w:firstLine="632" w:firstLineChars="200"/>
        <w:jc w:val="both"/>
        <w:textAlignment w:val="auto"/>
        <w:rPr>
          <w:rFonts w:hint="default" w:ascii="仿宋_GB2312" w:hAnsi="仿宋_GB2312" w:eastAsia="仿宋_GB2312" w:cs="仿宋_GB2312"/>
          <w:sz w:val="32"/>
          <w:szCs w:val="32"/>
        </w:rPr>
      </w:pPr>
      <w:r>
        <w:rPr>
          <w:rFonts w:hint="default" w:ascii="Times New Roman" w:hAnsi="Times New Roman" w:eastAsia="黑体" w:cs="Times New Roman"/>
          <w:sz w:val="32"/>
          <w:szCs w:val="32"/>
        </w:rPr>
        <w:t>第三条</w:t>
      </w:r>
      <w:r>
        <w:rPr>
          <w:rFonts w:hint="default" w:ascii="Times New Roman" w:hAnsi="Times New Roman" w:eastAsia="仿宋_GB2312" w:cs="Times New Roman"/>
          <w:sz w:val="32"/>
          <w:szCs w:val="32"/>
        </w:rPr>
        <w:t xml:space="preserve"> </w:t>
      </w:r>
      <w:r>
        <w:rPr>
          <w:rFonts w:hint="default" w:ascii="仿宋_GB2312" w:hAnsi="仿宋_GB2312" w:eastAsia="仿宋_GB2312" w:cs="仿宋_GB2312"/>
          <w:sz w:val="32"/>
          <w:szCs w:val="32"/>
        </w:rPr>
        <w:t>扶持对象为区内机关、团体、事业单位和在区内登记注册并依法纳税的企业（质量品牌、知识产权服务机构不受区域限制）。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/>
        <w:spacing w:line="576" w:lineRule="exact"/>
        <w:ind w:firstLine="632" w:firstLineChars="200"/>
        <w:jc w:val="both"/>
        <w:textAlignment w:val="auto"/>
        <w:rPr>
          <w:rFonts w:hint="default" w:ascii="仿宋_GB2312" w:hAnsi="仿宋_GB2312" w:eastAsia="仿宋_GB2312" w:cs="仿宋_GB2312"/>
          <w:sz w:val="32"/>
          <w:szCs w:val="32"/>
        </w:rPr>
      </w:pPr>
      <w:r>
        <w:rPr>
          <w:rFonts w:hint="default" w:ascii="Times New Roman" w:hAnsi="Times New Roman" w:eastAsia="黑体" w:cs="Times New Roman"/>
          <w:sz w:val="32"/>
          <w:szCs w:val="32"/>
        </w:rPr>
        <w:t>第四条</w:t>
      </w:r>
      <w:r>
        <w:rPr>
          <w:rFonts w:hint="default" w:ascii="Times New Roman" w:hAnsi="Times New Roman" w:eastAsia="仿宋_GB2312" w:cs="Times New Roman"/>
          <w:sz w:val="32"/>
          <w:szCs w:val="32"/>
        </w:rPr>
        <w:t xml:space="preserve"> </w:t>
      </w:r>
      <w:r>
        <w:rPr>
          <w:rFonts w:hint="default" w:ascii="仿宋_GB2312" w:hAnsi="仿宋_GB2312" w:eastAsia="仿宋_GB2312" w:cs="仿宋_GB2312"/>
          <w:sz w:val="32"/>
          <w:szCs w:val="32"/>
        </w:rPr>
        <w:t>扶持对象应年度内未发生安全生产、社会稳定、环境保护、节能减排等重大事故、事件；无拒不撤回国家知识产权主管部门认定“不以保护创新为目的的非正常专利申请”行为；在信用核实环节无重大失信信息。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/>
        <w:spacing w:line="576" w:lineRule="exact"/>
        <w:ind w:firstLine="632" w:firstLineChars="200"/>
        <w:jc w:val="left"/>
        <w:textAlignment w:val="auto"/>
        <w:rPr>
          <w:rFonts w:hint="default" w:ascii="仿宋_GB2312" w:hAnsi="仿宋_GB2312" w:eastAsia="仿宋_GB2312" w:cs="仿宋_GB2312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/>
        <w:spacing w:line="576" w:lineRule="exact"/>
        <w:jc w:val="center"/>
        <w:textAlignment w:val="auto"/>
        <w:rPr>
          <w:rFonts w:hint="default" w:ascii="Times New Roman" w:hAnsi="Times New Roman" w:eastAsia="黑体" w:cs="Times New Roman"/>
          <w:sz w:val="32"/>
          <w:szCs w:val="32"/>
        </w:rPr>
      </w:pPr>
      <w:r>
        <w:rPr>
          <w:rFonts w:hint="default" w:ascii="Times New Roman" w:hAnsi="Times New Roman" w:eastAsia="黑体" w:cs="Times New Roman"/>
          <w:sz w:val="32"/>
          <w:szCs w:val="32"/>
        </w:rPr>
        <w:t>第二章 专项资金使用范围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/>
        <w:spacing w:line="576" w:lineRule="exact"/>
        <w:jc w:val="center"/>
        <w:textAlignment w:val="auto"/>
        <w:rPr>
          <w:rFonts w:hint="default" w:ascii="Times New Roman" w:hAnsi="Times New Roman" w:eastAsia="黑体" w:cs="Times New Roman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/>
        <w:spacing w:line="576" w:lineRule="exact"/>
        <w:ind w:firstLine="632" w:firstLineChars="200"/>
        <w:jc w:val="both"/>
        <w:textAlignment w:val="auto"/>
        <w:rPr>
          <w:rFonts w:hint="default" w:ascii="仿宋_GB2312" w:hAnsi="仿宋_GB2312" w:eastAsia="仿宋_GB2312" w:cs="仿宋_GB2312"/>
          <w:sz w:val="32"/>
          <w:szCs w:val="32"/>
        </w:rPr>
      </w:pPr>
      <w:r>
        <w:rPr>
          <w:rFonts w:hint="default" w:ascii="Times New Roman" w:hAnsi="Times New Roman" w:eastAsia="黑体" w:cs="Times New Roman"/>
          <w:sz w:val="32"/>
          <w:szCs w:val="32"/>
        </w:rPr>
        <w:t>第五条</w:t>
      </w:r>
      <w:r>
        <w:rPr>
          <w:rFonts w:hint="default" w:ascii="Times New Roman" w:hAnsi="Times New Roman" w:eastAsia="仿宋_GB2312" w:cs="Times New Roman"/>
          <w:sz w:val="32"/>
          <w:szCs w:val="32"/>
        </w:rPr>
        <w:t xml:space="preserve"> </w:t>
      </w:r>
      <w:r>
        <w:rPr>
          <w:rFonts w:hint="default" w:ascii="仿宋_GB2312" w:hAnsi="仿宋_GB2312" w:eastAsia="仿宋_GB2312" w:cs="仿宋_GB2312"/>
          <w:sz w:val="32"/>
          <w:szCs w:val="32"/>
        </w:rPr>
        <w:t>专项资金主要用于质量、标准及品牌创建和专利创造、运用、保护、服务、管理等工作。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/>
        <w:spacing w:line="576" w:lineRule="exact"/>
        <w:ind w:firstLine="632" w:firstLineChars="200"/>
        <w:jc w:val="left"/>
        <w:textAlignment w:val="auto"/>
        <w:rPr>
          <w:rFonts w:hint="default" w:ascii="仿宋_GB2312" w:hAnsi="仿宋_GB2312" w:eastAsia="仿宋_GB2312" w:cs="仿宋_GB2312"/>
          <w:sz w:val="32"/>
          <w:szCs w:val="32"/>
        </w:rPr>
      </w:pPr>
      <w:r>
        <w:rPr>
          <w:rFonts w:hint="default" w:ascii="仿宋_GB2312" w:hAnsi="仿宋_GB2312" w:eastAsia="仿宋_GB2312" w:cs="仿宋_GB2312"/>
          <w:sz w:val="32"/>
          <w:szCs w:val="32"/>
        </w:rPr>
        <w:t>（一）质量、标准及品牌建设；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/>
        <w:spacing w:line="576" w:lineRule="exact"/>
        <w:ind w:firstLine="632" w:firstLineChars="200"/>
        <w:jc w:val="left"/>
        <w:textAlignment w:val="auto"/>
        <w:rPr>
          <w:rFonts w:hint="default" w:ascii="仿宋_GB2312" w:hAnsi="仿宋_GB2312" w:eastAsia="仿宋_GB2312" w:cs="仿宋_GB2312"/>
          <w:sz w:val="32"/>
          <w:szCs w:val="32"/>
        </w:rPr>
      </w:pPr>
      <w:r>
        <w:rPr>
          <w:rFonts w:hint="default" w:ascii="仿宋_GB2312" w:hAnsi="仿宋_GB2312" w:eastAsia="仿宋_GB2312" w:cs="仿宋_GB2312"/>
          <w:sz w:val="32"/>
          <w:szCs w:val="32"/>
        </w:rPr>
        <w:t>（二）知识产权质量奖；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/>
        <w:spacing w:line="576" w:lineRule="exact"/>
        <w:ind w:firstLine="632" w:firstLineChars="200"/>
        <w:jc w:val="left"/>
        <w:textAlignment w:val="auto"/>
        <w:rPr>
          <w:rFonts w:hint="default" w:ascii="仿宋_GB2312" w:hAnsi="仿宋_GB2312" w:eastAsia="仿宋_GB2312" w:cs="仿宋_GB2312"/>
          <w:sz w:val="32"/>
          <w:szCs w:val="32"/>
        </w:rPr>
      </w:pPr>
      <w:r>
        <w:rPr>
          <w:rFonts w:hint="default" w:ascii="仿宋_GB2312" w:hAnsi="仿宋_GB2312" w:eastAsia="仿宋_GB2312" w:cs="仿宋_GB2312"/>
          <w:sz w:val="32"/>
          <w:szCs w:val="32"/>
        </w:rPr>
        <w:t>（三）知识产权优势企业培育；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/>
        <w:spacing w:line="576" w:lineRule="exact"/>
        <w:ind w:firstLine="632" w:firstLineChars="200"/>
        <w:jc w:val="left"/>
        <w:textAlignment w:val="auto"/>
        <w:rPr>
          <w:rFonts w:hint="default" w:ascii="仿宋_GB2312" w:hAnsi="仿宋_GB2312" w:eastAsia="仿宋_GB2312" w:cs="仿宋_GB2312"/>
          <w:sz w:val="32"/>
          <w:szCs w:val="32"/>
        </w:rPr>
      </w:pPr>
      <w:r>
        <w:rPr>
          <w:rFonts w:hint="default" w:ascii="仿宋_GB2312" w:hAnsi="仿宋_GB2312" w:eastAsia="仿宋_GB2312" w:cs="仿宋_GB2312"/>
          <w:sz w:val="32"/>
          <w:szCs w:val="32"/>
        </w:rPr>
        <w:t>（四）知识产权实施转化；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/>
        <w:spacing w:line="576" w:lineRule="exact"/>
        <w:ind w:firstLine="632" w:firstLineChars="200"/>
        <w:jc w:val="left"/>
        <w:textAlignment w:val="auto"/>
        <w:rPr>
          <w:rFonts w:hint="default" w:ascii="仿宋_GB2312" w:hAnsi="仿宋_GB2312" w:eastAsia="仿宋_GB2312" w:cs="仿宋_GB2312"/>
          <w:sz w:val="32"/>
          <w:szCs w:val="32"/>
        </w:rPr>
      </w:pPr>
      <w:r>
        <w:rPr>
          <w:rFonts w:hint="default" w:ascii="仿宋_GB2312" w:hAnsi="仿宋_GB2312" w:eastAsia="仿宋_GB2312" w:cs="仿宋_GB2312"/>
          <w:sz w:val="32"/>
          <w:szCs w:val="32"/>
        </w:rPr>
        <w:t>（五）高价值发明专利“雁阵集群”奖励；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/>
        <w:spacing w:line="576" w:lineRule="exact"/>
        <w:ind w:firstLine="632" w:firstLineChars="200"/>
        <w:jc w:val="left"/>
        <w:textAlignment w:val="auto"/>
        <w:rPr>
          <w:rFonts w:hint="default" w:ascii="仿宋_GB2312" w:hAnsi="仿宋_GB2312" w:eastAsia="仿宋_GB2312" w:cs="仿宋_GB2312"/>
          <w:sz w:val="32"/>
          <w:szCs w:val="32"/>
        </w:rPr>
      </w:pPr>
      <w:r>
        <w:rPr>
          <w:rFonts w:hint="default" w:ascii="仿宋_GB2312" w:hAnsi="仿宋_GB2312" w:eastAsia="仿宋_GB2312" w:cs="仿宋_GB2312"/>
          <w:sz w:val="32"/>
          <w:szCs w:val="32"/>
        </w:rPr>
        <w:t>（六）知识产权高效益运用奖励；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/>
        <w:spacing w:line="576" w:lineRule="exact"/>
        <w:ind w:firstLine="632" w:firstLineChars="200"/>
        <w:jc w:val="left"/>
        <w:textAlignment w:val="auto"/>
        <w:rPr>
          <w:rFonts w:hint="default" w:ascii="仿宋_GB2312" w:hAnsi="仿宋_GB2312" w:eastAsia="仿宋_GB2312" w:cs="仿宋_GB2312"/>
          <w:sz w:val="32"/>
          <w:szCs w:val="32"/>
        </w:rPr>
      </w:pPr>
      <w:r>
        <w:rPr>
          <w:rFonts w:hint="default" w:ascii="仿宋_GB2312" w:hAnsi="仿宋_GB2312" w:eastAsia="仿宋_GB2312" w:cs="仿宋_GB2312"/>
          <w:sz w:val="32"/>
          <w:szCs w:val="32"/>
        </w:rPr>
        <w:t>（七）知识产权运营促进奖励；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/>
        <w:spacing w:line="576" w:lineRule="exact"/>
        <w:ind w:firstLine="632" w:firstLineChars="200"/>
        <w:jc w:val="left"/>
        <w:textAlignment w:val="auto"/>
        <w:rPr>
          <w:rFonts w:hint="default" w:ascii="仿宋_GB2312" w:hAnsi="仿宋_GB2312" w:eastAsia="仿宋_GB2312" w:cs="仿宋_GB2312"/>
          <w:sz w:val="32"/>
          <w:szCs w:val="32"/>
        </w:rPr>
      </w:pPr>
      <w:r>
        <w:rPr>
          <w:rFonts w:hint="default" w:ascii="仿宋_GB2312" w:hAnsi="仿宋_GB2312" w:eastAsia="仿宋_GB2312" w:cs="仿宋_GB2312"/>
          <w:sz w:val="32"/>
          <w:szCs w:val="32"/>
        </w:rPr>
        <w:t>（八）知识产权管理与服务；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/>
        <w:spacing w:line="576" w:lineRule="exact"/>
        <w:ind w:firstLine="632" w:firstLineChars="200"/>
        <w:jc w:val="left"/>
        <w:textAlignment w:val="auto"/>
        <w:rPr>
          <w:rFonts w:hint="default" w:ascii="仿宋_GB2312" w:hAnsi="仿宋_GB2312" w:eastAsia="仿宋_GB2312" w:cs="仿宋_GB2312"/>
          <w:sz w:val="32"/>
          <w:szCs w:val="32"/>
        </w:rPr>
      </w:pPr>
      <w:r>
        <w:rPr>
          <w:rFonts w:hint="default" w:ascii="仿宋_GB2312" w:hAnsi="仿宋_GB2312" w:eastAsia="仿宋_GB2312" w:cs="仿宋_GB2312"/>
          <w:sz w:val="32"/>
          <w:szCs w:val="32"/>
        </w:rPr>
        <w:t>（九）知识产权保护奖励。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/>
        <w:spacing w:line="576" w:lineRule="exact"/>
        <w:ind w:firstLine="632" w:firstLineChars="200"/>
        <w:jc w:val="left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/>
        <w:spacing w:line="576" w:lineRule="exact"/>
        <w:jc w:val="center"/>
        <w:textAlignment w:val="auto"/>
        <w:rPr>
          <w:rFonts w:hint="default" w:ascii="Times New Roman" w:hAnsi="Times New Roman" w:eastAsia="黑体" w:cs="Times New Roman"/>
          <w:sz w:val="32"/>
          <w:szCs w:val="32"/>
        </w:rPr>
      </w:pPr>
      <w:r>
        <w:rPr>
          <w:rFonts w:hint="default" w:ascii="Times New Roman" w:hAnsi="Times New Roman" w:eastAsia="黑体" w:cs="Times New Roman"/>
          <w:sz w:val="32"/>
          <w:szCs w:val="32"/>
        </w:rPr>
        <w:t>第三章 专项资金资助（奖励）标准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/>
        <w:spacing w:line="576" w:lineRule="exact"/>
        <w:jc w:val="center"/>
        <w:textAlignment w:val="auto"/>
        <w:rPr>
          <w:rFonts w:hint="default" w:ascii="Times New Roman" w:hAnsi="Times New Roman" w:eastAsia="黑体" w:cs="Times New Roman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/>
        <w:spacing w:line="576" w:lineRule="exact"/>
        <w:ind w:firstLine="632" w:firstLineChars="200"/>
        <w:jc w:val="left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黑体" w:cs="Times New Roman"/>
          <w:sz w:val="32"/>
          <w:szCs w:val="32"/>
        </w:rPr>
        <w:t>第六条</w:t>
      </w:r>
      <w:r>
        <w:rPr>
          <w:rFonts w:hint="default" w:ascii="Times New Roman" w:hAnsi="Times New Roman" w:eastAsia="仿宋_GB2312" w:cs="Times New Roman"/>
          <w:sz w:val="32"/>
          <w:szCs w:val="32"/>
        </w:rPr>
        <w:t xml:space="preserve"> </w:t>
      </w:r>
      <w:r>
        <w:rPr>
          <w:rFonts w:hint="default" w:ascii="仿宋_GB2312" w:hAnsi="仿宋_GB2312" w:eastAsia="仿宋_GB2312" w:cs="仿宋_GB2312"/>
          <w:sz w:val="32"/>
          <w:szCs w:val="32"/>
        </w:rPr>
        <w:t>质量、标准及品牌建设。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/>
        <w:spacing w:line="576" w:lineRule="exact"/>
        <w:ind w:firstLine="632" w:firstLineChars="200"/>
        <w:jc w:val="both"/>
        <w:textAlignment w:val="auto"/>
        <w:rPr>
          <w:rFonts w:hint="default" w:ascii="仿宋_GB2312" w:hAnsi="仿宋_GB2312" w:eastAsia="仿宋_GB2312" w:cs="仿宋_GB2312"/>
          <w:sz w:val="32"/>
          <w:szCs w:val="32"/>
        </w:rPr>
      </w:pPr>
      <w:r>
        <w:rPr>
          <w:rFonts w:hint="default" w:ascii="仿宋_GB2312" w:hAnsi="仿宋_GB2312" w:eastAsia="仿宋_GB2312" w:cs="仿宋_GB2312"/>
          <w:sz w:val="32"/>
          <w:szCs w:val="32"/>
        </w:rPr>
        <w:t>（一）对年度内符合威海市品牌战略、标准化相关扶持政策的项目，按照市级政策要求给予配套奖励资助。（其中，山东省优质产品生产基地市区配套资金用于奖励龙头骨干企业。）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/>
        <w:spacing w:line="576" w:lineRule="exact"/>
        <w:ind w:firstLine="632" w:firstLineChars="200"/>
        <w:jc w:val="both"/>
        <w:textAlignment w:val="auto"/>
        <w:rPr>
          <w:rFonts w:hint="default" w:ascii="仿宋_GB2312" w:hAnsi="仿宋_GB2312" w:eastAsia="仿宋_GB2312" w:cs="仿宋_GB2312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（</w:t>
      </w:r>
      <w:r>
        <w:rPr>
          <w:rFonts w:hint="default" w:ascii="仿宋_GB2312" w:hAnsi="仿宋_GB2312" w:eastAsia="仿宋_GB2312" w:cs="仿宋_GB2312"/>
          <w:sz w:val="32"/>
          <w:szCs w:val="32"/>
        </w:rPr>
        <w:t>二）对通过“泰山品质”认证的单位，给予</w:t>
      </w:r>
      <w:r>
        <w:rPr>
          <w:rFonts w:hint="default" w:ascii="Times New Roman" w:hAnsi="Times New Roman" w:eastAsia="仿宋_GB2312" w:cs="Times New Roman"/>
          <w:sz w:val="32"/>
          <w:szCs w:val="32"/>
        </w:rPr>
        <w:t>5</w:t>
      </w:r>
      <w:r>
        <w:rPr>
          <w:rFonts w:hint="default" w:ascii="仿宋_GB2312" w:hAnsi="仿宋_GB2312" w:eastAsia="仿宋_GB2312" w:cs="仿宋_GB2312"/>
          <w:sz w:val="32"/>
          <w:szCs w:val="32"/>
        </w:rPr>
        <w:t>万元的奖励。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/>
        <w:spacing w:line="576" w:lineRule="exact"/>
        <w:ind w:firstLine="632" w:firstLineChars="200"/>
        <w:jc w:val="both"/>
        <w:textAlignment w:val="auto"/>
        <w:rPr>
          <w:rFonts w:hint="default" w:ascii="仿宋_GB2312" w:hAnsi="仿宋_GB2312" w:eastAsia="仿宋_GB2312" w:cs="仿宋_GB2312"/>
          <w:sz w:val="32"/>
          <w:szCs w:val="32"/>
        </w:rPr>
      </w:pPr>
      <w:r>
        <w:rPr>
          <w:rFonts w:hint="default" w:ascii="仿宋_GB2312" w:hAnsi="仿宋_GB2312" w:eastAsia="仿宋_GB2312" w:cs="仿宋_GB2312"/>
          <w:sz w:val="32"/>
          <w:szCs w:val="32"/>
        </w:rPr>
        <w:t>（三）鼓励质量品牌服务机构积极参与我区质量品牌创建，将公益性服务与经营性服务相结合，为区内企事业单位在质量、品牌、标准等方面，提供专业化的全方位解决方案和服务，并给予服务机构相应奖励。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/>
        <w:spacing w:line="576" w:lineRule="exact"/>
        <w:ind w:firstLine="632" w:firstLineChars="200"/>
        <w:jc w:val="both"/>
        <w:textAlignment w:val="auto"/>
        <w:rPr>
          <w:rFonts w:hint="default" w:ascii="仿宋_GB2312" w:hAnsi="仿宋_GB2312" w:eastAsia="仿宋_GB2312" w:cs="仿宋_GB2312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1.</w:t>
      </w:r>
      <w:r>
        <w:rPr>
          <w:rFonts w:hint="eastAsia" w:ascii="Times New Roman" w:hAnsi="Times New Roman" w:cs="Times New Roman"/>
          <w:sz w:val="32"/>
          <w:szCs w:val="32"/>
          <w:lang w:val="en-US" w:eastAsia="zh-CN"/>
        </w:rPr>
        <w:t xml:space="preserve"> </w:t>
      </w:r>
      <w:r>
        <w:rPr>
          <w:rFonts w:hint="eastAsia" w:ascii="仿宋_GB2312" w:hAnsi="仿宋_GB2312" w:eastAsia="仿宋_GB2312" w:cs="仿宋_GB2312"/>
          <w:sz w:val="32"/>
          <w:szCs w:val="32"/>
        </w:rPr>
        <w:t>年内成功代理获批“中国质量奖提名奖”或“山东省优质产品生产基地”，给予</w:t>
      </w:r>
      <w:r>
        <w:rPr>
          <w:rFonts w:hint="default" w:ascii="Times New Roman" w:hAnsi="Times New Roman" w:eastAsia="仿宋_GB2312" w:cs="Times New Roman"/>
          <w:sz w:val="32"/>
          <w:szCs w:val="32"/>
        </w:rPr>
        <w:t>10</w:t>
      </w:r>
      <w:r>
        <w:rPr>
          <w:rFonts w:hint="default" w:ascii="仿宋_GB2312" w:hAnsi="仿宋_GB2312" w:eastAsia="仿宋_GB2312" w:cs="仿宋_GB2312"/>
          <w:sz w:val="32"/>
          <w:szCs w:val="32"/>
        </w:rPr>
        <w:t>万元奖励。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/>
        <w:spacing w:line="576" w:lineRule="exact"/>
        <w:ind w:firstLine="632" w:firstLineChars="200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2.</w:t>
      </w:r>
      <w:r>
        <w:rPr>
          <w:rFonts w:hint="eastAsia" w:ascii="Times New Roman" w:hAnsi="Times New Roman" w:cs="Times New Roman"/>
          <w:sz w:val="32"/>
          <w:szCs w:val="32"/>
          <w:lang w:val="en-US" w:eastAsia="zh-CN"/>
        </w:rPr>
        <w:t xml:space="preserve"> </w:t>
      </w:r>
      <w:r>
        <w:rPr>
          <w:rFonts w:hint="default" w:ascii="仿宋_GB2312" w:hAnsi="仿宋_GB2312" w:eastAsia="仿宋_GB2312" w:cs="仿宋_GB2312"/>
          <w:sz w:val="32"/>
          <w:szCs w:val="32"/>
        </w:rPr>
        <w:t>年内成功代理获批“山东省省长质量奖提名奖”或“国家地理标志产品（注册地理标志商标）”</w:t>
      </w:r>
      <w:r>
        <w:rPr>
          <w:rFonts w:hint="default" w:ascii="Times New Roman" w:hAnsi="Times New Roman" w:eastAsia="仿宋_GB2312" w:cs="Times New Roman"/>
          <w:sz w:val="32"/>
          <w:szCs w:val="32"/>
        </w:rPr>
        <w:t>，给予5万元奖励。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/>
        <w:spacing w:line="576" w:lineRule="exact"/>
        <w:ind w:firstLine="632" w:firstLineChars="200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3.</w:t>
      </w:r>
      <w:r>
        <w:rPr>
          <w:rFonts w:hint="eastAsia" w:ascii="Times New Roman" w:hAnsi="Times New Roman" w:cs="Times New Roman"/>
          <w:sz w:val="32"/>
          <w:szCs w:val="32"/>
          <w:lang w:val="en-US" w:eastAsia="zh-CN"/>
        </w:rPr>
        <w:t xml:space="preserve"> 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年内成功代理获批“山东省高端品牌培育企业”4家以上（含4家）或代理“好品山东”企业4家以上（含4家），给予5万元奖励。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/>
        <w:spacing w:line="576" w:lineRule="exact"/>
        <w:ind w:firstLine="632" w:firstLineChars="200"/>
        <w:jc w:val="left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黑体" w:cs="Times New Roman"/>
          <w:sz w:val="32"/>
          <w:szCs w:val="32"/>
        </w:rPr>
        <w:t>第七条</w:t>
      </w:r>
      <w:r>
        <w:rPr>
          <w:rFonts w:hint="default" w:ascii="Times New Roman" w:hAnsi="Times New Roman" w:eastAsia="仿宋_GB2312" w:cs="Times New Roman"/>
          <w:sz w:val="32"/>
          <w:szCs w:val="32"/>
        </w:rPr>
        <w:t xml:space="preserve"> 知识产权质量奖。获“国家专利金奖”“国家专利优秀奖”的职务专利，分别资助企业5万元、3万元；获省专利一等奖、二等奖、三等奖的职务专利，分别资助企业3万元、2万元、1万元。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/>
        <w:spacing w:line="576" w:lineRule="exact"/>
        <w:ind w:firstLine="632" w:firstLineChars="200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黑体" w:cs="Times New Roman"/>
          <w:sz w:val="32"/>
          <w:szCs w:val="32"/>
        </w:rPr>
        <w:t>第八条</w:t>
      </w:r>
      <w:r>
        <w:rPr>
          <w:rFonts w:hint="default" w:ascii="Times New Roman" w:hAnsi="Times New Roman" w:eastAsia="仿宋_GB2312" w:cs="Times New Roman"/>
          <w:sz w:val="32"/>
          <w:szCs w:val="32"/>
        </w:rPr>
        <w:t xml:space="preserve"> 知识产权优势企业培育。支持建立知识产权管理体系，对通过《企业知识产权管理规范》（GB/T29490-2013）国家标准认证且年度内获得新授权发明专利成果3项以上（同时缴纳5年专利年费）的企业，给予10万元资助。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/>
        <w:spacing w:line="576" w:lineRule="exact"/>
        <w:ind w:firstLine="632" w:firstLineChars="200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黑体" w:cs="Times New Roman"/>
          <w:sz w:val="32"/>
          <w:szCs w:val="32"/>
        </w:rPr>
        <w:t>第九条</w:t>
      </w:r>
      <w:r>
        <w:rPr>
          <w:rFonts w:hint="default" w:ascii="Times New Roman" w:hAnsi="Times New Roman" w:eastAsia="仿宋_GB2312" w:cs="Times New Roman"/>
          <w:sz w:val="32"/>
          <w:szCs w:val="32"/>
        </w:rPr>
        <w:t xml:space="preserve"> 知识产权实施转化。2022年1月以来授权发明专利产业化后年度产值达到1000万元（含1000万元）的奖励20万元；产值在500万元（含500万元）至1000万元之间的奖励10万元；产值在200万元（含200万元）至500万元之间的奖励5万元。每项专利只享受一次奖励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/>
        <w:spacing w:line="576" w:lineRule="exact"/>
        <w:ind w:firstLine="632" w:firstLineChars="200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黑体" w:cs="Times New Roman"/>
          <w:sz w:val="32"/>
          <w:szCs w:val="32"/>
        </w:rPr>
        <w:t>第十条</w:t>
      </w:r>
      <w:r>
        <w:rPr>
          <w:rFonts w:hint="default" w:ascii="Times New Roman" w:hAnsi="Times New Roman" w:eastAsia="仿宋_GB2312" w:cs="Times New Roman"/>
          <w:sz w:val="32"/>
          <w:szCs w:val="32"/>
        </w:rPr>
        <w:t xml:space="preserve"> 高价值发明专利“雁阵集群”奖励。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/>
        <w:spacing w:line="576" w:lineRule="exact"/>
        <w:ind w:firstLine="632" w:firstLineChars="200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（一）年内战略性新兴产业领域原创技术成果权力化10项以上（含10项）且建立知识产权管理制度的企业，给予20万元奖励。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/>
        <w:spacing w:line="576" w:lineRule="exact"/>
        <w:ind w:firstLine="632" w:firstLineChars="200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（二）年内战略性新兴产业领域原创技术成果权力化5项以上（含5项）不足10项且建立知识产权管理制度的企业，给予10万元奖励。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/>
        <w:spacing w:line="576" w:lineRule="exact"/>
        <w:ind w:firstLine="632" w:firstLineChars="200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（三）年内战略性新兴产业领域原创技术成果权力化3项以上（含3项）不足5项且建立知识产权管理制度的企业，给予6万元奖励。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/>
        <w:spacing w:line="576" w:lineRule="exact"/>
        <w:ind w:firstLine="632" w:firstLineChars="200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黑体" w:cs="Times New Roman"/>
          <w:sz w:val="32"/>
          <w:szCs w:val="32"/>
        </w:rPr>
        <w:t>第十一条</w:t>
      </w:r>
      <w:r>
        <w:rPr>
          <w:rFonts w:hint="default" w:ascii="Times New Roman" w:hAnsi="Times New Roman" w:eastAsia="仿宋_GB2312" w:cs="Times New Roman"/>
          <w:sz w:val="32"/>
          <w:szCs w:val="32"/>
        </w:rPr>
        <w:t xml:space="preserve"> 知识产权高效益运用奖励。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/>
        <w:spacing w:line="576" w:lineRule="exact"/>
        <w:ind w:firstLine="632" w:firstLineChars="200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（一）年内原创发明专利成果实现300万元以上质押融资登记的单位，每项给予一次性奖励1万元。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/>
        <w:spacing w:line="576" w:lineRule="exact"/>
        <w:ind w:firstLine="632" w:firstLineChars="200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（二）年内获得新授权发明专利成果3项以上且开展专利导航项目的企业，给予5万元奖励。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/>
        <w:spacing w:line="576" w:lineRule="exact"/>
        <w:ind w:firstLine="632" w:firstLineChars="200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黑体" w:cs="Times New Roman"/>
          <w:sz w:val="32"/>
          <w:szCs w:val="32"/>
        </w:rPr>
        <w:t>第十二条</w:t>
      </w:r>
      <w:r>
        <w:rPr>
          <w:rFonts w:hint="default" w:ascii="Times New Roman" w:hAnsi="Times New Roman" w:eastAsia="仿宋_GB2312" w:cs="Times New Roman"/>
          <w:sz w:val="32"/>
          <w:szCs w:val="32"/>
        </w:rPr>
        <w:t xml:space="preserve"> 知识产权运营促进奖励。</w:t>
      </w:r>
      <w:bookmarkStart w:id="0" w:name="OLE_LINK5"/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/>
        <w:spacing w:line="576" w:lineRule="exact"/>
        <w:ind w:firstLine="632" w:firstLineChars="200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（一）年内促成战略性新兴产业领域技术成果权力化20项以上（含20项）并列入当年我区新增高价值发明专利统计范围的机构，奖励20万元。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/>
        <w:spacing w:line="576" w:lineRule="exact"/>
        <w:ind w:firstLine="632" w:firstLineChars="200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（二）年内促成原创发明专利成果实现较高质押融资登记40项以上（含40项）并列入当年我区新增高价值发明专利统计范围的机构，奖励20万元。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/>
        <w:spacing w:line="576" w:lineRule="exact"/>
        <w:ind w:firstLine="632" w:firstLineChars="200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（三）年内完成企业专利导航项目5个以上且成功交易授权发明专利成果20项以上（含20项）并列入当年我区新增发明专利统计范围的机构，奖励20万元。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/>
        <w:spacing w:line="576" w:lineRule="exact"/>
        <w:ind w:firstLine="632" w:firstLineChars="200"/>
        <w:jc w:val="left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黑体" w:cs="Times New Roman"/>
          <w:sz w:val="32"/>
          <w:szCs w:val="32"/>
        </w:rPr>
        <w:t>第十三条</w:t>
      </w:r>
      <w:r>
        <w:rPr>
          <w:rFonts w:hint="default" w:ascii="Times New Roman" w:hAnsi="Times New Roman" w:eastAsia="仿宋_GB2312" w:cs="Times New Roman"/>
          <w:sz w:val="32"/>
          <w:szCs w:val="32"/>
        </w:rPr>
        <w:t xml:space="preserve"> 知识产权管理与服务。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/>
        <w:spacing w:line="576" w:lineRule="exact"/>
        <w:ind w:firstLine="632" w:firstLineChars="200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威海经济技术开发区知识产权法律服务团运营主体，协助做好本辖区知识产权案件查处前置有关事项的确认，当年累计出具涉案事项法律意见书5份（含）、10份（含）以上，分别给予1万元、2万元资助；优化区域知识产权公共服务，面向全区市场主体开展知识产权维权援助、非诉调解、专题宣教等营商公益服务，年度考核合格给予15万元资助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/>
        <w:spacing w:line="576" w:lineRule="exact"/>
        <w:ind w:firstLine="632" w:firstLineChars="200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（一）区法律服务团所聘成员高校教授不低于2人；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/>
        <w:spacing w:line="576" w:lineRule="exact"/>
        <w:ind w:firstLine="632" w:firstLineChars="200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（二）区法律服务团所聘成员持有律师证人员不低于6人；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/>
        <w:spacing w:line="576" w:lineRule="exact"/>
        <w:ind w:firstLine="632" w:firstLineChars="200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（三）全年开展知识产权保护公益培训不低于3次；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/>
        <w:spacing w:line="576" w:lineRule="exact"/>
        <w:ind w:firstLine="632" w:firstLineChars="200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（四）每2季度制定一期知识产权领域法律风险提示指南；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/>
        <w:spacing w:line="576" w:lineRule="exact"/>
        <w:ind w:firstLine="632" w:firstLineChars="200"/>
        <w:jc w:val="both"/>
        <w:textAlignment w:val="auto"/>
        <w:rPr>
          <w:rFonts w:hint="default" w:ascii="仿宋_GB2312" w:hAnsi="仿宋_GB2312" w:eastAsia="仿宋_GB2312" w:cs="仿宋_GB2312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（五）</w:t>
      </w:r>
      <w:r>
        <w:rPr>
          <w:rFonts w:hint="eastAsia" w:ascii="仿宋_GB2312" w:hAnsi="仿宋_GB2312" w:eastAsia="仿宋_GB2312" w:cs="仿宋_GB2312"/>
          <w:sz w:val="32"/>
          <w:szCs w:val="32"/>
        </w:rPr>
        <w:t>面向区内企业开展知识产权“大体检”公益服务，</w:t>
      </w:r>
      <w:r>
        <w:rPr>
          <w:rFonts w:hint="default" w:ascii="Times New Roman" w:hAnsi="Times New Roman" w:eastAsia="仿宋_GB2312" w:cs="Times New Roman"/>
          <w:sz w:val="32"/>
          <w:szCs w:val="32"/>
        </w:rPr>
        <w:t>每</w:t>
      </w:r>
      <w:r>
        <w:rPr>
          <w:rFonts w:hint="default" w:ascii="仿宋_GB2312" w:hAnsi="仿宋_GB2312" w:eastAsia="仿宋_GB2312" w:cs="仿宋_GB2312"/>
          <w:sz w:val="32"/>
          <w:szCs w:val="32"/>
        </w:rPr>
        <w:t>季度不低</w:t>
      </w:r>
      <w:r>
        <w:rPr>
          <w:rFonts w:hint="default" w:ascii="Times New Roman" w:hAnsi="Times New Roman" w:eastAsia="仿宋_GB2312" w:cs="Times New Roman"/>
          <w:sz w:val="32"/>
          <w:szCs w:val="32"/>
        </w:rPr>
        <w:t>于3家，全年不低于12家</w:t>
      </w:r>
      <w:r>
        <w:rPr>
          <w:rFonts w:hint="default" w:ascii="仿宋_GB2312" w:hAnsi="仿宋_GB2312" w:eastAsia="仿宋_GB2312" w:cs="仿宋_GB2312"/>
          <w:sz w:val="32"/>
          <w:szCs w:val="32"/>
        </w:rPr>
        <w:t>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/>
        <w:spacing w:line="576" w:lineRule="exact"/>
        <w:ind w:firstLine="632" w:firstLineChars="200"/>
        <w:jc w:val="left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（六）协助做好专利纠纷行政裁决相关工作。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/>
        <w:spacing w:line="576" w:lineRule="exact"/>
        <w:ind w:firstLine="632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default" w:ascii="Times New Roman" w:hAnsi="Times New Roman" w:eastAsia="黑体" w:cs="Times New Roman"/>
          <w:sz w:val="32"/>
          <w:szCs w:val="32"/>
        </w:rPr>
        <w:t>第十四条</w:t>
      </w:r>
      <w:r>
        <w:rPr>
          <w:rFonts w:hint="default" w:ascii="Times New Roman" w:hAnsi="Times New Roman" w:eastAsia="仿宋_GB2312" w:cs="Times New Roman"/>
          <w:sz w:val="32"/>
          <w:szCs w:val="32"/>
        </w:rPr>
        <w:t xml:space="preserve"> </w:t>
      </w:r>
      <w:r>
        <w:rPr>
          <w:rFonts w:hint="eastAsia" w:ascii="仿宋_GB2312" w:hAnsi="仿宋_GB2312" w:eastAsia="仿宋_GB2312" w:cs="仿宋_GB2312"/>
          <w:sz w:val="32"/>
          <w:szCs w:val="32"/>
        </w:rPr>
        <w:t>知识产权保护奖励。对保护区内知识产权做出贡献的单位和个人酌情给予一定奖励。对举报知识产权假冒、侵权并查实的一次性奖励举报人</w:t>
      </w:r>
      <w:r>
        <w:rPr>
          <w:rFonts w:hint="default" w:ascii="Times New Roman" w:hAnsi="Times New Roman" w:eastAsia="仿宋_GB2312" w:cs="Times New Roman"/>
          <w:sz w:val="32"/>
          <w:szCs w:val="32"/>
        </w:rPr>
        <w:t>1000元</w:t>
      </w:r>
      <w:r>
        <w:rPr>
          <w:rFonts w:hint="eastAsia" w:ascii="仿宋_GB2312" w:hAnsi="仿宋_GB2312" w:eastAsia="仿宋_GB2312" w:cs="仿宋_GB2312"/>
          <w:sz w:val="32"/>
          <w:szCs w:val="32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/>
        <w:spacing w:line="576" w:lineRule="exact"/>
        <w:ind w:firstLine="632" w:firstLineChars="200"/>
        <w:jc w:val="left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/>
        <w:spacing w:line="576" w:lineRule="exact"/>
        <w:jc w:val="center"/>
        <w:textAlignment w:val="auto"/>
        <w:rPr>
          <w:rFonts w:hint="default" w:ascii="Times New Roman" w:hAnsi="Times New Roman" w:eastAsia="黑体" w:cs="Times New Roman"/>
          <w:sz w:val="32"/>
          <w:szCs w:val="32"/>
        </w:rPr>
      </w:pPr>
      <w:r>
        <w:rPr>
          <w:rFonts w:hint="default" w:ascii="Times New Roman" w:hAnsi="Times New Roman" w:eastAsia="黑体" w:cs="Times New Roman"/>
          <w:sz w:val="32"/>
          <w:szCs w:val="32"/>
        </w:rPr>
        <w:t>第四章 管理与监督</w:t>
      </w:r>
    </w:p>
    <w:bookmarkEnd w:id="0"/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/>
        <w:spacing w:line="576" w:lineRule="exact"/>
        <w:ind w:firstLine="632" w:firstLineChars="200"/>
        <w:jc w:val="left"/>
        <w:textAlignment w:val="auto"/>
        <w:rPr>
          <w:rFonts w:hint="default" w:ascii="Times New Roman" w:hAnsi="Times New Roman" w:eastAsia="黑体" w:cs="Times New Roman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/>
        <w:spacing w:line="576" w:lineRule="exact"/>
        <w:ind w:firstLine="632" w:firstLineChars="200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黑体" w:cs="Times New Roman"/>
          <w:sz w:val="32"/>
          <w:szCs w:val="32"/>
        </w:rPr>
        <w:t>第十五条</w:t>
      </w:r>
      <w:r>
        <w:rPr>
          <w:rFonts w:hint="default" w:ascii="Times New Roman" w:hAnsi="Times New Roman" w:eastAsia="仿宋_GB2312" w:cs="Times New Roman"/>
          <w:sz w:val="32"/>
          <w:szCs w:val="32"/>
        </w:rPr>
        <w:t xml:space="preserve"> 申请奖励资助的单位应提供真实有效的文书、证书，并且本项行为属于正常生产经营活动而非恶意套取奖励资助资金，对有弄虚作假行为的，一经发现，全额追回奖励资助资金，且3年内不再享受该专项奖励资金资助，情节严重的，将按《财政违法行为处罚处分条例》依法追究相关责任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/>
        <w:spacing w:line="576" w:lineRule="exact"/>
        <w:ind w:firstLine="632" w:firstLineChars="200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黑体" w:cs="Times New Roman"/>
          <w:sz w:val="32"/>
          <w:szCs w:val="32"/>
        </w:rPr>
        <w:t>第十六条</w:t>
      </w:r>
      <w:r>
        <w:rPr>
          <w:rFonts w:hint="default" w:ascii="Times New Roman" w:hAnsi="Times New Roman" w:eastAsia="仿宋_GB2312" w:cs="Times New Roman"/>
          <w:sz w:val="32"/>
          <w:szCs w:val="32"/>
        </w:rPr>
        <w:t xml:space="preserve"> 根据工作需要，可以委托具备相应资质的第三方机构进行审计或核验，受委托的第三方审计机构或专业机构在审计或核验过程中，存在弄虚作假、隐瞒事实真相或与受资助单位串通作弊并出具相关报告的，按照有关规定追究责任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/>
        <w:spacing w:line="576" w:lineRule="exact"/>
        <w:ind w:firstLine="632" w:firstLineChars="200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黑体" w:cs="Times New Roman"/>
          <w:sz w:val="32"/>
          <w:szCs w:val="32"/>
        </w:rPr>
        <w:t>第十七条</w:t>
      </w:r>
      <w:r>
        <w:rPr>
          <w:rFonts w:hint="default" w:ascii="Times New Roman" w:hAnsi="Times New Roman" w:eastAsia="仿宋_GB2312" w:cs="Times New Roman"/>
          <w:sz w:val="32"/>
          <w:szCs w:val="32"/>
        </w:rPr>
        <w:t xml:space="preserve"> 受到专项奖励资金资助和支持的单位，应加强对资金的管理，实行专款专用、独立核算，确保发挥最大效益。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/>
        <w:spacing w:line="576" w:lineRule="exact"/>
        <w:ind w:firstLine="632" w:firstLineChars="200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黑体" w:cs="Times New Roman"/>
          <w:sz w:val="32"/>
          <w:szCs w:val="32"/>
        </w:rPr>
        <w:t>第十八条</w:t>
      </w:r>
      <w:r>
        <w:rPr>
          <w:rFonts w:hint="default" w:ascii="Times New Roman" w:hAnsi="Times New Roman" w:eastAsia="仿宋_GB2312" w:cs="Times New Roman"/>
          <w:sz w:val="32"/>
          <w:szCs w:val="32"/>
        </w:rPr>
        <w:t xml:space="preserve"> 市场监督管理局于每年1月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-</w:t>
      </w:r>
      <w:r>
        <w:rPr>
          <w:rFonts w:hint="default" w:ascii="Times New Roman" w:hAnsi="Times New Roman" w:eastAsia="仿宋_GB2312" w:cs="Times New Roman"/>
          <w:sz w:val="32"/>
          <w:szCs w:val="32"/>
        </w:rPr>
        <w:t>2月底受理上年度质量和知识产权奖励资助申请，审查并拟定奖励资助方案报管委批准后，组织资金发放。不在规定的时间内提出申请的，视为自动放弃资助。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/>
        <w:spacing w:line="576" w:lineRule="exact"/>
        <w:ind w:firstLine="632" w:firstLineChars="200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黑体" w:cs="Times New Roman"/>
          <w:sz w:val="32"/>
          <w:szCs w:val="32"/>
        </w:rPr>
        <w:t>第十九条</w:t>
      </w:r>
      <w:r>
        <w:rPr>
          <w:rFonts w:hint="default" w:ascii="Times New Roman" w:hAnsi="Times New Roman" w:eastAsia="仿宋_GB2312" w:cs="Times New Roman"/>
          <w:sz w:val="32"/>
          <w:szCs w:val="32"/>
        </w:rPr>
        <w:t xml:space="preserve"> 财政金融局负责对奖励资助资金的发放进行监督。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/>
        <w:spacing w:line="576" w:lineRule="exact"/>
        <w:ind w:firstLine="632" w:firstLineChars="200"/>
        <w:jc w:val="left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/>
        <w:spacing w:line="576" w:lineRule="exact"/>
        <w:jc w:val="center"/>
        <w:textAlignment w:val="auto"/>
        <w:rPr>
          <w:rFonts w:hint="default" w:ascii="Times New Roman" w:hAnsi="Times New Roman" w:eastAsia="黑体" w:cs="Times New Roman"/>
          <w:sz w:val="32"/>
          <w:szCs w:val="32"/>
        </w:rPr>
      </w:pPr>
      <w:r>
        <w:rPr>
          <w:rFonts w:hint="default" w:ascii="Times New Roman" w:hAnsi="Times New Roman" w:eastAsia="黑体" w:cs="Times New Roman"/>
          <w:sz w:val="32"/>
          <w:szCs w:val="32"/>
        </w:rPr>
        <w:t>第五章 附 则</w:t>
      </w:r>
    </w:p>
    <w:p>
      <w:pPr>
        <w:pStyle w:val="17"/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76" w:lineRule="exact"/>
        <w:ind w:firstLine="632" w:firstLineChars="200"/>
        <w:textAlignment w:val="auto"/>
        <w:rPr>
          <w:rFonts w:hint="default" w:ascii="Times New Roman" w:hAnsi="Times New Roman" w:eastAsia="黑体" w:cs="Times New Roman"/>
          <w:sz w:val="32"/>
          <w:szCs w:val="32"/>
        </w:rPr>
      </w:pPr>
    </w:p>
    <w:p>
      <w:pPr>
        <w:pStyle w:val="17"/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76" w:lineRule="exact"/>
        <w:ind w:firstLine="632" w:firstLineChars="200"/>
        <w:jc w:val="both"/>
        <w:textAlignment w:val="auto"/>
        <w:rPr>
          <w:rFonts w:ascii="Times New Roman" w:hAnsi="Times New Roman" w:eastAsia="仿宋_GB2312" w:cs="仿宋"/>
          <w:sz w:val="32"/>
        </w:rPr>
      </w:pPr>
      <w:r>
        <w:rPr>
          <w:rFonts w:hint="default" w:ascii="Times New Roman" w:hAnsi="Times New Roman" w:eastAsia="黑体" w:cs="Times New Roman"/>
          <w:sz w:val="32"/>
          <w:szCs w:val="32"/>
        </w:rPr>
        <w:t>第二十条</w:t>
      </w:r>
      <w:r>
        <w:rPr>
          <w:rFonts w:hint="default" w:ascii="Times New Roman" w:hAnsi="Times New Roman" w:eastAsia="仿宋_GB2312" w:cs="Times New Roman"/>
          <w:sz w:val="32"/>
          <w:szCs w:val="32"/>
        </w:rPr>
        <w:t xml:space="preserve"> 本办法自2022年</w:t>
      </w:r>
      <w:r>
        <w:rPr>
          <w:rFonts w:hint="default" w:ascii="Times New Roman" w:hAnsi="Times New Roman" w:eastAsia="仿宋_GB2312" w:cs="Times New Roman"/>
          <w:sz w:val="32"/>
          <w:szCs w:val="32"/>
          <w:lang w:val="en" w:eastAsia="zh-CN"/>
        </w:rPr>
        <w:t>8</w:t>
      </w:r>
      <w:r>
        <w:rPr>
          <w:rFonts w:hint="default" w:ascii="Times New Roman" w:hAnsi="Times New Roman" w:eastAsia="仿宋_GB2312" w:cs="Times New Roman"/>
          <w:sz w:val="32"/>
          <w:szCs w:val="32"/>
        </w:rPr>
        <w:t>月</w:t>
      </w:r>
      <w:r>
        <w:rPr>
          <w:rFonts w:hint="default" w:ascii="Times New Roman" w:hAnsi="Times New Roman" w:eastAsia="仿宋_GB2312" w:cs="Times New Roman"/>
          <w:sz w:val="32"/>
          <w:szCs w:val="32"/>
          <w:lang w:val="en"/>
        </w:rPr>
        <w:t>6</w:t>
      </w:r>
      <w:r>
        <w:rPr>
          <w:rFonts w:hint="default" w:ascii="Times New Roman" w:hAnsi="Times New Roman" w:eastAsia="仿宋_GB2312" w:cs="Times New Roman"/>
          <w:sz w:val="32"/>
          <w:szCs w:val="32"/>
        </w:rPr>
        <w:t>日起实施，有效期至2025年</w:t>
      </w:r>
      <w:r>
        <w:rPr>
          <w:rFonts w:hint="default" w:ascii="Times New Roman" w:hAnsi="Times New Roman" w:eastAsia="仿宋_GB2312" w:cs="Times New Roman"/>
          <w:sz w:val="32"/>
          <w:szCs w:val="32"/>
          <w:lang w:val="en"/>
        </w:rPr>
        <w:t>8</w:t>
      </w:r>
      <w:r>
        <w:rPr>
          <w:rFonts w:hint="default" w:ascii="Times New Roman" w:hAnsi="Times New Roman" w:eastAsia="仿宋_GB2312" w:cs="Times New Roman"/>
          <w:sz w:val="32"/>
          <w:szCs w:val="32"/>
        </w:rPr>
        <w:t>月</w:t>
      </w:r>
      <w:r>
        <w:rPr>
          <w:rFonts w:hint="default" w:ascii="Times New Roman" w:hAnsi="Times New Roman" w:eastAsia="仿宋_GB2312" w:cs="Times New Roman"/>
          <w:sz w:val="32"/>
          <w:szCs w:val="32"/>
          <w:lang w:val="en"/>
        </w:rPr>
        <w:t>5</w:t>
      </w:r>
      <w:r>
        <w:rPr>
          <w:rFonts w:hint="default" w:ascii="Times New Roman" w:hAnsi="Times New Roman" w:eastAsia="仿宋_GB2312" w:cs="Times New Roman"/>
          <w:sz w:val="32"/>
          <w:szCs w:val="32"/>
        </w:rPr>
        <w:t>日。原《威海经济技术开发区知识产权专项资金管理办法》（经技区管发〔2021〕167号）同时废止。2022年1月1日至本办法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实施</w:t>
      </w:r>
      <w:r>
        <w:rPr>
          <w:rFonts w:hint="default" w:ascii="Times New Roman" w:hAnsi="Times New Roman" w:eastAsia="仿宋_GB2312" w:cs="Times New Roman"/>
          <w:sz w:val="32"/>
          <w:szCs w:val="32"/>
        </w:rPr>
        <w:t>之日，符合本办法条件的扶持对象，按照本办法给予资助、奖励。</w:t>
      </w:r>
    </w:p>
    <w:p>
      <w:pPr>
        <w:pStyle w:val="17"/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76" w:lineRule="exact"/>
        <w:ind w:firstLine="645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</w:p>
    <w:p>
      <w:pPr>
        <w:pStyle w:val="17"/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76" w:lineRule="exact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</w:p>
    <w:p>
      <w:pPr>
        <w:pStyle w:val="17"/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76" w:lineRule="exact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</w:p>
    <w:p>
      <w:pPr>
        <w:pStyle w:val="17"/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76" w:lineRule="exact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</w:p>
    <w:sectPr>
      <w:headerReference r:id="rId3" w:type="default"/>
      <w:footerReference r:id="rId5" w:type="default"/>
      <w:headerReference r:id="rId4" w:type="even"/>
      <w:footerReference r:id="rId6" w:type="even"/>
      <w:pgSz w:w="11906" w:h="16838"/>
      <w:pgMar w:top="2098" w:right="1474" w:bottom="1984" w:left="1588" w:header="851" w:footer="1417" w:gutter="0"/>
      <w:cols w:space="720" w:num="1"/>
      <w:docGrid w:type="linesAndChars" w:linePitch="579" w:charSpace="-84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文星简小标宋">
    <w:altName w:val="宋体"/>
    <w:panose1 w:val="02010609000101010101"/>
    <w:charset w:val="00"/>
    <w:family w:val="modern"/>
    <w:pitch w:val="default"/>
    <w:sig w:usb0="00000000" w:usb1="00000000" w:usb2="00000000" w:usb3="00000000" w:csb0="00040001" w:csb1="00000000"/>
  </w:font>
  <w:font w:name="Verdana">
    <w:panose1 w:val="020B0604030504040204"/>
    <w:charset w:val="00"/>
    <w:family w:val="swiss"/>
    <w:pitch w:val="default"/>
    <w:sig w:usb0="A00006FF" w:usb1="4000205B" w:usb2="00000010" w:usb3="00000000" w:csb0="2000019F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12"/>
      <w:ind w:right="360" w:firstLine="7280" w:firstLineChars="2600"/>
      <w:rPr>
        <w:rFonts w:hint="eastAsia" w:ascii="宋体" w:hAnsi="宋体" w:eastAsia="宋体"/>
        <w:sz w:val="28"/>
        <w:szCs w:val="28"/>
      </w:rPr>
    </w:pPr>
    <w:r>
      <w:rPr>
        <w:rStyle w:val="23"/>
        <w:rFonts w:hint="eastAsia" w:ascii="宋体" w:hAnsi="宋体" w:eastAsia="宋体"/>
        <w:sz w:val="28"/>
        <w:szCs w:val="28"/>
      </w:rPr>
      <w:t xml:space="preserve">— </w:t>
    </w:r>
    <w:r>
      <w:rPr>
        <w:rFonts w:ascii="宋体" w:hAnsi="宋体" w:eastAsia="宋体"/>
        <w:sz w:val="28"/>
        <w:szCs w:val="28"/>
      </w:rPr>
      <w:fldChar w:fldCharType="begin"/>
    </w:r>
    <w:r>
      <w:rPr>
        <w:rStyle w:val="23"/>
        <w:rFonts w:ascii="宋体" w:hAnsi="宋体" w:eastAsia="宋体"/>
        <w:sz w:val="28"/>
        <w:szCs w:val="28"/>
      </w:rPr>
      <w:instrText xml:space="preserve"> PAGE </w:instrText>
    </w:r>
    <w:r>
      <w:rPr>
        <w:rFonts w:ascii="宋体" w:hAnsi="宋体" w:eastAsia="宋体"/>
        <w:sz w:val="28"/>
        <w:szCs w:val="28"/>
      </w:rPr>
      <w:fldChar w:fldCharType="separate"/>
    </w:r>
    <w:r>
      <w:rPr>
        <w:rStyle w:val="23"/>
        <w:rFonts w:ascii="宋体" w:hAnsi="宋体" w:eastAsia="宋体"/>
        <w:sz w:val="28"/>
        <w:szCs w:val="28"/>
        <w:lang/>
      </w:rPr>
      <w:t>1</w:t>
    </w:r>
    <w:r>
      <w:rPr>
        <w:rFonts w:ascii="宋体" w:hAnsi="宋体" w:eastAsia="宋体"/>
        <w:sz w:val="28"/>
        <w:szCs w:val="28"/>
      </w:rPr>
      <w:fldChar w:fldCharType="end"/>
    </w:r>
    <w:r>
      <w:rPr>
        <w:rStyle w:val="23"/>
        <w:rFonts w:hint="eastAsia" w:ascii="宋体" w:hAnsi="宋体" w:eastAsia="宋体"/>
        <w:sz w:val="28"/>
        <w:szCs w:val="28"/>
      </w:rPr>
      <w:t xml:space="preserve"> —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12"/>
      <w:ind w:right="360" w:firstLine="280" w:firstLineChars="100"/>
      <w:rPr>
        <w:rFonts w:hint="eastAsia" w:ascii="宋体" w:hAnsi="宋体" w:eastAsia="宋体"/>
        <w:sz w:val="28"/>
        <w:szCs w:val="28"/>
      </w:rPr>
    </w:pPr>
    <w:r>
      <w:rPr>
        <w:rStyle w:val="23"/>
        <w:rFonts w:hint="eastAsia" w:ascii="宋体" w:hAnsi="宋体" w:eastAsia="宋体"/>
        <w:sz w:val="28"/>
        <w:szCs w:val="28"/>
      </w:rPr>
      <w:t xml:space="preserve">— </w:t>
    </w:r>
    <w:r>
      <w:rPr>
        <w:rFonts w:ascii="宋体" w:hAnsi="宋体" w:eastAsia="宋体"/>
        <w:sz w:val="28"/>
        <w:szCs w:val="28"/>
      </w:rPr>
      <w:fldChar w:fldCharType="begin"/>
    </w:r>
    <w:r>
      <w:rPr>
        <w:rStyle w:val="23"/>
        <w:rFonts w:ascii="宋体" w:hAnsi="宋体" w:eastAsia="宋体"/>
        <w:sz w:val="28"/>
        <w:szCs w:val="28"/>
      </w:rPr>
      <w:instrText xml:space="preserve"> PAGE </w:instrText>
    </w:r>
    <w:r>
      <w:rPr>
        <w:rFonts w:ascii="宋体" w:hAnsi="宋体" w:eastAsia="宋体"/>
        <w:sz w:val="28"/>
        <w:szCs w:val="28"/>
      </w:rPr>
      <w:fldChar w:fldCharType="separate"/>
    </w:r>
    <w:r>
      <w:rPr>
        <w:rStyle w:val="23"/>
        <w:rFonts w:ascii="宋体" w:hAnsi="宋体" w:eastAsia="宋体"/>
        <w:sz w:val="28"/>
        <w:szCs w:val="28"/>
        <w:lang/>
      </w:rPr>
      <w:t>2</w:t>
    </w:r>
    <w:r>
      <w:rPr>
        <w:rFonts w:ascii="宋体" w:hAnsi="宋体" w:eastAsia="宋体"/>
        <w:sz w:val="28"/>
        <w:szCs w:val="28"/>
      </w:rPr>
      <w:fldChar w:fldCharType="end"/>
    </w:r>
    <w:r>
      <w:rPr>
        <w:rStyle w:val="23"/>
        <w:rFonts w:hint="eastAsia" w:ascii="宋体" w:hAnsi="宋体" w:eastAsia="宋体"/>
        <w:sz w:val="28"/>
        <w:szCs w:val="28"/>
      </w:rPr>
      <w:t xml:space="preserve"> —</w: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13"/>
      <w:pBdr>
        <w:bottom w:val="none" w:color="auto" w:sz="0" w:space="0"/>
      </w:pBd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13"/>
      <w:pBdr>
        <w:bottom w:val="none" w:color="auto" w:sz="0" w:space="1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isplayBackgroundShape w:val="1"/>
  <w:mirrorMargins w:val="1"/>
  <w:bordersDoNotSurroundHeader w:val="0"/>
  <w:bordersDoNotSurroundFooter w:val="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nforcement="0"/>
  <w:defaultTabStop w:val="420"/>
  <w:hyphenationZone w:val="360"/>
  <w:evenAndOddHeaders w:val="1"/>
  <w:drawingGridHorizontalSpacing w:val="158"/>
  <w:drawingGridVerticalSpacing w:val="579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TZjMjZkNDhhMTc5ZTQ4YzVmYjAwM2MxNGRlMjFkNmYifQ=="/>
  </w:docVars>
  <w:rsids>
    <w:rsidRoot w:val="00E83CE6"/>
    <w:rsid w:val="00005241"/>
    <w:rsid w:val="00006511"/>
    <w:rsid w:val="00006CBE"/>
    <w:rsid w:val="0001048F"/>
    <w:rsid w:val="00010FC4"/>
    <w:rsid w:val="000120BC"/>
    <w:rsid w:val="00014D90"/>
    <w:rsid w:val="000175AF"/>
    <w:rsid w:val="00024481"/>
    <w:rsid w:val="00025716"/>
    <w:rsid w:val="000461D8"/>
    <w:rsid w:val="00054966"/>
    <w:rsid w:val="00060970"/>
    <w:rsid w:val="00061854"/>
    <w:rsid w:val="0007156C"/>
    <w:rsid w:val="00076F77"/>
    <w:rsid w:val="0007720C"/>
    <w:rsid w:val="000805C0"/>
    <w:rsid w:val="000816C8"/>
    <w:rsid w:val="0008210E"/>
    <w:rsid w:val="000915F5"/>
    <w:rsid w:val="000A3C95"/>
    <w:rsid w:val="000C217A"/>
    <w:rsid w:val="000D1073"/>
    <w:rsid w:val="000E7927"/>
    <w:rsid w:val="000F0882"/>
    <w:rsid w:val="000F5082"/>
    <w:rsid w:val="00106C0B"/>
    <w:rsid w:val="00116F91"/>
    <w:rsid w:val="0011770E"/>
    <w:rsid w:val="001248B1"/>
    <w:rsid w:val="00132684"/>
    <w:rsid w:val="00136995"/>
    <w:rsid w:val="00145F44"/>
    <w:rsid w:val="00152DBB"/>
    <w:rsid w:val="0015336D"/>
    <w:rsid w:val="00154AF7"/>
    <w:rsid w:val="00154B56"/>
    <w:rsid w:val="00154C28"/>
    <w:rsid w:val="00156275"/>
    <w:rsid w:val="001710D1"/>
    <w:rsid w:val="001803FB"/>
    <w:rsid w:val="00180BD4"/>
    <w:rsid w:val="001974BE"/>
    <w:rsid w:val="001A4DB6"/>
    <w:rsid w:val="001B38A5"/>
    <w:rsid w:val="001C069C"/>
    <w:rsid w:val="001C0CE3"/>
    <w:rsid w:val="001C0F67"/>
    <w:rsid w:val="001C1F66"/>
    <w:rsid w:val="001C4881"/>
    <w:rsid w:val="001D1D6C"/>
    <w:rsid w:val="001D4C77"/>
    <w:rsid w:val="001D549B"/>
    <w:rsid w:val="001D70A0"/>
    <w:rsid w:val="001E1916"/>
    <w:rsid w:val="001E39C7"/>
    <w:rsid w:val="001E6DDB"/>
    <w:rsid w:val="001F3609"/>
    <w:rsid w:val="00201040"/>
    <w:rsid w:val="00201980"/>
    <w:rsid w:val="00220AFE"/>
    <w:rsid w:val="002223D6"/>
    <w:rsid w:val="0022279A"/>
    <w:rsid w:val="00224506"/>
    <w:rsid w:val="00237931"/>
    <w:rsid w:val="002410F6"/>
    <w:rsid w:val="002466D0"/>
    <w:rsid w:val="0025088C"/>
    <w:rsid w:val="00256222"/>
    <w:rsid w:val="00262C56"/>
    <w:rsid w:val="00264259"/>
    <w:rsid w:val="00274E04"/>
    <w:rsid w:val="002917B6"/>
    <w:rsid w:val="00296278"/>
    <w:rsid w:val="002A1C2F"/>
    <w:rsid w:val="002A4D70"/>
    <w:rsid w:val="002B020A"/>
    <w:rsid w:val="002B2E13"/>
    <w:rsid w:val="002B2E17"/>
    <w:rsid w:val="002C0847"/>
    <w:rsid w:val="002C219B"/>
    <w:rsid w:val="002C3BF9"/>
    <w:rsid w:val="002C6FEB"/>
    <w:rsid w:val="002D1D8E"/>
    <w:rsid w:val="002D66F1"/>
    <w:rsid w:val="002E2908"/>
    <w:rsid w:val="002E413D"/>
    <w:rsid w:val="002E7EFB"/>
    <w:rsid w:val="002F1481"/>
    <w:rsid w:val="0031041B"/>
    <w:rsid w:val="00310C2E"/>
    <w:rsid w:val="00315FE2"/>
    <w:rsid w:val="0031697C"/>
    <w:rsid w:val="003174FA"/>
    <w:rsid w:val="003357FC"/>
    <w:rsid w:val="003419AE"/>
    <w:rsid w:val="003464C9"/>
    <w:rsid w:val="00376FC9"/>
    <w:rsid w:val="003903CD"/>
    <w:rsid w:val="0039467B"/>
    <w:rsid w:val="003B19B6"/>
    <w:rsid w:val="003B2990"/>
    <w:rsid w:val="003B5A24"/>
    <w:rsid w:val="003B6D18"/>
    <w:rsid w:val="003C08D1"/>
    <w:rsid w:val="003C5583"/>
    <w:rsid w:val="003D0964"/>
    <w:rsid w:val="003D1338"/>
    <w:rsid w:val="003E05A1"/>
    <w:rsid w:val="003E1A79"/>
    <w:rsid w:val="003E3489"/>
    <w:rsid w:val="003E58CB"/>
    <w:rsid w:val="00416FB4"/>
    <w:rsid w:val="00417B33"/>
    <w:rsid w:val="004212BF"/>
    <w:rsid w:val="004240EA"/>
    <w:rsid w:val="00425F8F"/>
    <w:rsid w:val="004328A5"/>
    <w:rsid w:val="00432D68"/>
    <w:rsid w:val="0043641D"/>
    <w:rsid w:val="004442E3"/>
    <w:rsid w:val="00451506"/>
    <w:rsid w:val="00455959"/>
    <w:rsid w:val="00456589"/>
    <w:rsid w:val="00467AB9"/>
    <w:rsid w:val="004714C4"/>
    <w:rsid w:val="004852B6"/>
    <w:rsid w:val="00487E74"/>
    <w:rsid w:val="00490548"/>
    <w:rsid w:val="00491B4E"/>
    <w:rsid w:val="00492D7F"/>
    <w:rsid w:val="00493577"/>
    <w:rsid w:val="0049684F"/>
    <w:rsid w:val="0049729A"/>
    <w:rsid w:val="004B06FC"/>
    <w:rsid w:val="004C28DE"/>
    <w:rsid w:val="004D0468"/>
    <w:rsid w:val="004D2987"/>
    <w:rsid w:val="004D7E54"/>
    <w:rsid w:val="004E0E07"/>
    <w:rsid w:val="004E1FEB"/>
    <w:rsid w:val="004E2F34"/>
    <w:rsid w:val="004F02EC"/>
    <w:rsid w:val="004F38B5"/>
    <w:rsid w:val="0050598D"/>
    <w:rsid w:val="005107EC"/>
    <w:rsid w:val="00525D12"/>
    <w:rsid w:val="00526B6B"/>
    <w:rsid w:val="00534953"/>
    <w:rsid w:val="00534964"/>
    <w:rsid w:val="005452DB"/>
    <w:rsid w:val="0055095B"/>
    <w:rsid w:val="005534AF"/>
    <w:rsid w:val="00557010"/>
    <w:rsid w:val="00557CEF"/>
    <w:rsid w:val="00561198"/>
    <w:rsid w:val="0056762D"/>
    <w:rsid w:val="0059073B"/>
    <w:rsid w:val="005A00A0"/>
    <w:rsid w:val="005A03EE"/>
    <w:rsid w:val="005B02FF"/>
    <w:rsid w:val="005B59F6"/>
    <w:rsid w:val="005C05E3"/>
    <w:rsid w:val="005C5953"/>
    <w:rsid w:val="005D49F9"/>
    <w:rsid w:val="005F5155"/>
    <w:rsid w:val="006105A3"/>
    <w:rsid w:val="00613DA9"/>
    <w:rsid w:val="006329CA"/>
    <w:rsid w:val="006357E7"/>
    <w:rsid w:val="00636BF1"/>
    <w:rsid w:val="006425B3"/>
    <w:rsid w:val="00661BD7"/>
    <w:rsid w:val="00667553"/>
    <w:rsid w:val="006734AB"/>
    <w:rsid w:val="00676DC1"/>
    <w:rsid w:val="00687295"/>
    <w:rsid w:val="00694E67"/>
    <w:rsid w:val="006A2742"/>
    <w:rsid w:val="006A2CC4"/>
    <w:rsid w:val="006A329D"/>
    <w:rsid w:val="006A35F1"/>
    <w:rsid w:val="006B14DE"/>
    <w:rsid w:val="006B303F"/>
    <w:rsid w:val="006D53B5"/>
    <w:rsid w:val="006E2AC5"/>
    <w:rsid w:val="006E5A22"/>
    <w:rsid w:val="006E66AE"/>
    <w:rsid w:val="007031A9"/>
    <w:rsid w:val="007054D9"/>
    <w:rsid w:val="00706D35"/>
    <w:rsid w:val="0072471E"/>
    <w:rsid w:val="00724C30"/>
    <w:rsid w:val="0074235B"/>
    <w:rsid w:val="007455C9"/>
    <w:rsid w:val="00754E74"/>
    <w:rsid w:val="00770085"/>
    <w:rsid w:val="007876A3"/>
    <w:rsid w:val="007A062C"/>
    <w:rsid w:val="007B2EB0"/>
    <w:rsid w:val="007C3F22"/>
    <w:rsid w:val="007C4F4E"/>
    <w:rsid w:val="007D147B"/>
    <w:rsid w:val="007D429C"/>
    <w:rsid w:val="007E35FD"/>
    <w:rsid w:val="007E37D0"/>
    <w:rsid w:val="007E3DFA"/>
    <w:rsid w:val="0082017A"/>
    <w:rsid w:val="008225A9"/>
    <w:rsid w:val="008231CE"/>
    <w:rsid w:val="00824158"/>
    <w:rsid w:val="00830A89"/>
    <w:rsid w:val="00834317"/>
    <w:rsid w:val="00834E31"/>
    <w:rsid w:val="00842A1D"/>
    <w:rsid w:val="008438DD"/>
    <w:rsid w:val="008439F1"/>
    <w:rsid w:val="008448E1"/>
    <w:rsid w:val="00845E05"/>
    <w:rsid w:val="008522E3"/>
    <w:rsid w:val="00855EAD"/>
    <w:rsid w:val="00856DD6"/>
    <w:rsid w:val="00861D27"/>
    <w:rsid w:val="00862DDC"/>
    <w:rsid w:val="00863A3C"/>
    <w:rsid w:val="008704C8"/>
    <w:rsid w:val="00876882"/>
    <w:rsid w:val="008806CC"/>
    <w:rsid w:val="00891707"/>
    <w:rsid w:val="00891DDE"/>
    <w:rsid w:val="008929F2"/>
    <w:rsid w:val="0089601D"/>
    <w:rsid w:val="008A001C"/>
    <w:rsid w:val="008E4722"/>
    <w:rsid w:val="008E4DAE"/>
    <w:rsid w:val="009007A4"/>
    <w:rsid w:val="00913FA0"/>
    <w:rsid w:val="00916732"/>
    <w:rsid w:val="0091713C"/>
    <w:rsid w:val="00917CEA"/>
    <w:rsid w:val="00933CD3"/>
    <w:rsid w:val="00935DBE"/>
    <w:rsid w:val="00940470"/>
    <w:rsid w:val="00941B80"/>
    <w:rsid w:val="00946B95"/>
    <w:rsid w:val="00950005"/>
    <w:rsid w:val="00953528"/>
    <w:rsid w:val="00954081"/>
    <w:rsid w:val="00957CC1"/>
    <w:rsid w:val="009619BE"/>
    <w:rsid w:val="00964CEE"/>
    <w:rsid w:val="009676BD"/>
    <w:rsid w:val="00982348"/>
    <w:rsid w:val="00982BA6"/>
    <w:rsid w:val="00982EE4"/>
    <w:rsid w:val="00986BB3"/>
    <w:rsid w:val="00994695"/>
    <w:rsid w:val="009952D8"/>
    <w:rsid w:val="009B3718"/>
    <w:rsid w:val="009C168B"/>
    <w:rsid w:val="009E1C8D"/>
    <w:rsid w:val="009E3930"/>
    <w:rsid w:val="009F4C13"/>
    <w:rsid w:val="00A10C6A"/>
    <w:rsid w:val="00A11932"/>
    <w:rsid w:val="00A16CE1"/>
    <w:rsid w:val="00A22B04"/>
    <w:rsid w:val="00A4141C"/>
    <w:rsid w:val="00A471CD"/>
    <w:rsid w:val="00A6730E"/>
    <w:rsid w:val="00A67E32"/>
    <w:rsid w:val="00A92332"/>
    <w:rsid w:val="00A93B02"/>
    <w:rsid w:val="00AB1465"/>
    <w:rsid w:val="00AB5CE3"/>
    <w:rsid w:val="00AB5D8C"/>
    <w:rsid w:val="00AE3217"/>
    <w:rsid w:val="00AE6476"/>
    <w:rsid w:val="00AF14FD"/>
    <w:rsid w:val="00AF2E6B"/>
    <w:rsid w:val="00B04896"/>
    <w:rsid w:val="00B07D38"/>
    <w:rsid w:val="00B11536"/>
    <w:rsid w:val="00B20A0B"/>
    <w:rsid w:val="00B22144"/>
    <w:rsid w:val="00B31BB8"/>
    <w:rsid w:val="00B32EF5"/>
    <w:rsid w:val="00B47F7D"/>
    <w:rsid w:val="00B623A9"/>
    <w:rsid w:val="00B77791"/>
    <w:rsid w:val="00B8225A"/>
    <w:rsid w:val="00B85CDF"/>
    <w:rsid w:val="00B918BA"/>
    <w:rsid w:val="00B94AEF"/>
    <w:rsid w:val="00BA3560"/>
    <w:rsid w:val="00BA3B7D"/>
    <w:rsid w:val="00BA637E"/>
    <w:rsid w:val="00BB7A45"/>
    <w:rsid w:val="00BD555C"/>
    <w:rsid w:val="00BE0902"/>
    <w:rsid w:val="00BE1842"/>
    <w:rsid w:val="00BE338E"/>
    <w:rsid w:val="00C070E1"/>
    <w:rsid w:val="00C07953"/>
    <w:rsid w:val="00C13130"/>
    <w:rsid w:val="00C134C4"/>
    <w:rsid w:val="00C16FC3"/>
    <w:rsid w:val="00C2334E"/>
    <w:rsid w:val="00C2391C"/>
    <w:rsid w:val="00C301E8"/>
    <w:rsid w:val="00C32254"/>
    <w:rsid w:val="00C47F01"/>
    <w:rsid w:val="00C60366"/>
    <w:rsid w:val="00C74C45"/>
    <w:rsid w:val="00C75A47"/>
    <w:rsid w:val="00C776FC"/>
    <w:rsid w:val="00CA17A8"/>
    <w:rsid w:val="00CB1BA8"/>
    <w:rsid w:val="00CB22DC"/>
    <w:rsid w:val="00CB5FEC"/>
    <w:rsid w:val="00CC391C"/>
    <w:rsid w:val="00CD389E"/>
    <w:rsid w:val="00CD48A8"/>
    <w:rsid w:val="00CE5F53"/>
    <w:rsid w:val="00CF562A"/>
    <w:rsid w:val="00CF7573"/>
    <w:rsid w:val="00D05F83"/>
    <w:rsid w:val="00D1271E"/>
    <w:rsid w:val="00D12CB7"/>
    <w:rsid w:val="00D206B4"/>
    <w:rsid w:val="00D20E8B"/>
    <w:rsid w:val="00D216EB"/>
    <w:rsid w:val="00D30BD2"/>
    <w:rsid w:val="00D33F65"/>
    <w:rsid w:val="00D34637"/>
    <w:rsid w:val="00D3652A"/>
    <w:rsid w:val="00D47F4F"/>
    <w:rsid w:val="00D51163"/>
    <w:rsid w:val="00D60D49"/>
    <w:rsid w:val="00D62FEF"/>
    <w:rsid w:val="00D636D9"/>
    <w:rsid w:val="00D72472"/>
    <w:rsid w:val="00D832EC"/>
    <w:rsid w:val="00D8549E"/>
    <w:rsid w:val="00DA0CBC"/>
    <w:rsid w:val="00DD1618"/>
    <w:rsid w:val="00E2631D"/>
    <w:rsid w:val="00E355C1"/>
    <w:rsid w:val="00E37718"/>
    <w:rsid w:val="00E4666B"/>
    <w:rsid w:val="00E46C0E"/>
    <w:rsid w:val="00E658FC"/>
    <w:rsid w:val="00E71622"/>
    <w:rsid w:val="00E8146B"/>
    <w:rsid w:val="00E8290B"/>
    <w:rsid w:val="00E83CE6"/>
    <w:rsid w:val="00E949AC"/>
    <w:rsid w:val="00E961EB"/>
    <w:rsid w:val="00E962FE"/>
    <w:rsid w:val="00EA5EB0"/>
    <w:rsid w:val="00EA692C"/>
    <w:rsid w:val="00EB163D"/>
    <w:rsid w:val="00EB265C"/>
    <w:rsid w:val="00EB4AF0"/>
    <w:rsid w:val="00ED4CA4"/>
    <w:rsid w:val="00EE3399"/>
    <w:rsid w:val="00EF04FC"/>
    <w:rsid w:val="00EF2C39"/>
    <w:rsid w:val="00EF4492"/>
    <w:rsid w:val="00EF6E12"/>
    <w:rsid w:val="00F02AC1"/>
    <w:rsid w:val="00F25A04"/>
    <w:rsid w:val="00F30E7B"/>
    <w:rsid w:val="00F479EB"/>
    <w:rsid w:val="00F70FD5"/>
    <w:rsid w:val="00F90362"/>
    <w:rsid w:val="00FC61F1"/>
    <w:rsid w:val="00FD23E3"/>
    <w:rsid w:val="00FD2C67"/>
    <w:rsid w:val="00FD799F"/>
    <w:rsid w:val="00FE34D5"/>
    <w:rsid w:val="035F240A"/>
    <w:rsid w:val="04050785"/>
    <w:rsid w:val="04DC14B1"/>
    <w:rsid w:val="05135B1E"/>
    <w:rsid w:val="06776269"/>
    <w:rsid w:val="073B7415"/>
    <w:rsid w:val="07952502"/>
    <w:rsid w:val="080E0A0E"/>
    <w:rsid w:val="08E62D14"/>
    <w:rsid w:val="0AC534D0"/>
    <w:rsid w:val="0B0C1BA0"/>
    <w:rsid w:val="0CCD6E8A"/>
    <w:rsid w:val="0ED757EF"/>
    <w:rsid w:val="109F1E0B"/>
    <w:rsid w:val="1168175F"/>
    <w:rsid w:val="11A07DC4"/>
    <w:rsid w:val="12445701"/>
    <w:rsid w:val="139F4AC2"/>
    <w:rsid w:val="13CE108B"/>
    <w:rsid w:val="140F1701"/>
    <w:rsid w:val="145A22C6"/>
    <w:rsid w:val="15C20E17"/>
    <w:rsid w:val="17C5013E"/>
    <w:rsid w:val="17DC24FD"/>
    <w:rsid w:val="18003460"/>
    <w:rsid w:val="18050E56"/>
    <w:rsid w:val="18641533"/>
    <w:rsid w:val="187F4BD8"/>
    <w:rsid w:val="190176D4"/>
    <w:rsid w:val="191D7BF6"/>
    <w:rsid w:val="1A772855"/>
    <w:rsid w:val="1ADD2CCF"/>
    <w:rsid w:val="1B540B26"/>
    <w:rsid w:val="1BB859E4"/>
    <w:rsid w:val="1BC276A7"/>
    <w:rsid w:val="1BE93FE6"/>
    <w:rsid w:val="1C112E0F"/>
    <w:rsid w:val="1C1156C0"/>
    <w:rsid w:val="1C645520"/>
    <w:rsid w:val="1D2D4B04"/>
    <w:rsid w:val="1F1946F0"/>
    <w:rsid w:val="1F7433FD"/>
    <w:rsid w:val="1FB2283A"/>
    <w:rsid w:val="1FDDEF20"/>
    <w:rsid w:val="1FF26617"/>
    <w:rsid w:val="1FF752C5"/>
    <w:rsid w:val="22352C38"/>
    <w:rsid w:val="235A2F71"/>
    <w:rsid w:val="23A514E0"/>
    <w:rsid w:val="26875945"/>
    <w:rsid w:val="2734790C"/>
    <w:rsid w:val="28620271"/>
    <w:rsid w:val="294E7E5E"/>
    <w:rsid w:val="29CE76F9"/>
    <w:rsid w:val="2A7F3CE8"/>
    <w:rsid w:val="2AD118AF"/>
    <w:rsid w:val="2B927CB7"/>
    <w:rsid w:val="2BFD7692"/>
    <w:rsid w:val="2C4A617A"/>
    <w:rsid w:val="2D4535BB"/>
    <w:rsid w:val="2DCA3DDA"/>
    <w:rsid w:val="2ED84DE6"/>
    <w:rsid w:val="2F043B43"/>
    <w:rsid w:val="2FFF1256"/>
    <w:rsid w:val="2FFFEE23"/>
    <w:rsid w:val="31101A17"/>
    <w:rsid w:val="31137ED9"/>
    <w:rsid w:val="33683D20"/>
    <w:rsid w:val="336D6D49"/>
    <w:rsid w:val="34434F21"/>
    <w:rsid w:val="34932815"/>
    <w:rsid w:val="356B24D9"/>
    <w:rsid w:val="36DD3B94"/>
    <w:rsid w:val="37064665"/>
    <w:rsid w:val="38040C2D"/>
    <w:rsid w:val="383B7080"/>
    <w:rsid w:val="3998171D"/>
    <w:rsid w:val="3B285D7C"/>
    <w:rsid w:val="3B2962E0"/>
    <w:rsid w:val="3BD478F0"/>
    <w:rsid w:val="3C0063E3"/>
    <w:rsid w:val="3C3B30F0"/>
    <w:rsid w:val="3DF27C88"/>
    <w:rsid w:val="3E9CED1E"/>
    <w:rsid w:val="3EDC7BAD"/>
    <w:rsid w:val="3F466A87"/>
    <w:rsid w:val="3F4E60AB"/>
    <w:rsid w:val="3F95778B"/>
    <w:rsid w:val="3F9FBE6D"/>
    <w:rsid w:val="402258A9"/>
    <w:rsid w:val="421656F0"/>
    <w:rsid w:val="423141FC"/>
    <w:rsid w:val="42385007"/>
    <w:rsid w:val="435B7CEC"/>
    <w:rsid w:val="4455028F"/>
    <w:rsid w:val="44BD71BE"/>
    <w:rsid w:val="44FC7AF7"/>
    <w:rsid w:val="45164A26"/>
    <w:rsid w:val="47EE509E"/>
    <w:rsid w:val="480A1A49"/>
    <w:rsid w:val="483E02AC"/>
    <w:rsid w:val="48772B9F"/>
    <w:rsid w:val="48C9703A"/>
    <w:rsid w:val="48EC2896"/>
    <w:rsid w:val="49A00A88"/>
    <w:rsid w:val="49B86428"/>
    <w:rsid w:val="4A126D4B"/>
    <w:rsid w:val="4AB503F0"/>
    <w:rsid w:val="4ACB562A"/>
    <w:rsid w:val="4BFFAED1"/>
    <w:rsid w:val="4C010918"/>
    <w:rsid w:val="4C714ACF"/>
    <w:rsid w:val="4D073C2D"/>
    <w:rsid w:val="4E0565A1"/>
    <w:rsid w:val="4E174455"/>
    <w:rsid w:val="4E497C26"/>
    <w:rsid w:val="4FE13400"/>
    <w:rsid w:val="5092663C"/>
    <w:rsid w:val="50D65F5E"/>
    <w:rsid w:val="527C569D"/>
    <w:rsid w:val="52B25E64"/>
    <w:rsid w:val="54982700"/>
    <w:rsid w:val="55EA15AF"/>
    <w:rsid w:val="55ED47B9"/>
    <w:rsid w:val="56C172D1"/>
    <w:rsid w:val="57EB3E70"/>
    <w:rsid w:val="584E1F4E"/>
    <w:rsid w:val="5B535EA8"/>
    <w:rsid w:val="5B7A0B7A"/>
    <w:rsid w:val="5C3D0E6C"/>
    <w:rsid w:val="5C427A6E"/>
    <w:rsid w:val="5C694384"/>
    <w:rsid w:val="5EFA7CCD"/>
    <w:rsid w:val="6039380C"/>
    <w:rsid w:val="62025441"/>
    <w:rsid w:val="62635838"/>
    <w:rsid w:val="62F34544"/>
    <w:rsid w:val="63DC621A"/>
    <w:rsid w:val="64744713"/>
    <w:rsid w:val="649528CC"/>
    <w:rsid w:val="64D8500E"/>
    <w:rsid w:val="65A44796"/>
    <w:rsid w:val="65FC6A92"/>
    <w:rsid w:val="67405FED"/>
    <w:rsid w:val="67794F9F"/>
    <w:rsid w:val="67A964D1"/>
    <w:rsid w:val="67EB7FB5"/>
    <w:rsid w:val="68BA4BBC"/>
    <w:rsid w:val="6A7E065C"/>
    <w:rsid w:val="6B304089"/>
    <w:rsid w:val="6D3D6658"/>
    <w:rsid w:val="6F2D1410"/>
    <w:rsid w:val="6FCE1A91"/>
    <w:rsid w:val="6FEAA92C"/>
    <w:rsid w:val="6FFD3341"/>
    <w:rsid w:val="71C95969"/>
    <w:rsid w:val="72A1155D"/>
    <w:rsid w:val="73395C1D"/>
    <w:rsid w:val="73AD63F5"/>
    <w:rsid w:val="73B131FB"/>
    <w:rsid w:val="73F73BBB"/>
    <w:rsid w:val="74F0514E"/>
    <w:rsid w:val="75104A1E"/>
    <w:rsid w:val="75620FCF"/>
    <w:rsid w:val="7593002F"/>
    <w:rsid w:val="75BD7A4A"/>
    <w:rsid w:val="76201561"/>
    <w:rsid w:val="765F5050"/>
    <w:rsid w:val="76F76B73"/>
    <w:rsid w:val="7703412A"/>
    <w:rsid w:val="77E2B8D5"/>
    <w:rsid w:val="7896335D"/>
    <w:rsid w:val="78DFA19A"/>
    <w:rsid w:val="78E06F2C"/>
    <w:rsid w:val="78E715AD"/>
    <w:rsid w:val="79E65CF8"/>
    <w:rsid w:val="79F74604"/>
    <w:rsid w:val="7A9F3C1C"/>
    <w:rsid w:val="7BBD542D"/>
    <w:rsid w:val="7BE86049"/>
    <w:rsid w:val="7CB93B7C"/>
    <w:rsid w:val="7CEDA5AD"/>
    <w:rsid w:val="7D3AE814"/>
    <w:rsid w:val="7D530E58"/>
    <w:rsid w:val="7D75B8C4"/>
    <w:rsid w:val="7D946ABC"/>
    <w:rsid w:val="7DC713E5"/>
    <w:rsid w:val="7DDC5C16"/>
    <w:rsid w:val="7E441FD6"/>
    <w:rsid w:val="7EA7C483"/>
    <w:rsid w:val="7F2D0193"/>
    <w:rsid w:val="7F33EDAA"/>
    <w:rsid w:val="7FB958B8"/>
    <w:rsid w:val="7FDCB362"/>
    <w:rsid w:val="7FF92FDE"/>
    <w:rsid w:val="7FFF7718"/>
    <w:rsid w:val="B2BFBDA9"/>
    <w:rsid w:val="BA7B23C6"/>
    <w:rsid w:val="C2BF6BC5"/>
    <w:rsid w:val="C2DEA1AF"/>
    <w:rsid w:val="D7FEA51E"/>
    <w:rsid w:val="DABF2A83"/>
    <w:rsid w:val="EDBF66CE"/>
    <w:rsid w:val="EFD70FDD"/>
    <w:rsid w:val="EFFB69E6"/>
    <w:rsid w:val="F57ECC32"/>
    <w:rsid w:val="FADE1CAF"/>
    <w:rsid w:val="FE7F3073"/>
    <w:rsid w:val="FF3B0894"/>
    <w:rsid w:val="FF6EF058"/>
    <w:rsid w:val="FFDFC67B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qFormat="1"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99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eastAsia="仿宋_GB2312"/>
      <w:kern w:val="2"/>
      <w:sz w:val="32"/>
      <w:szCs w:val="32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character" w:default="1" w:styleId="21">
    <w:name w:val="Default Paragraph Font"/>
    <w:semiHidden/>
    <w:uiPriority w:val="0"/>
    <w:rPr>
      <w:sz w:val="32"/>
      <w:szCs w:val="21"/>
    </w:rPr>
  </w:style>
  <w:style w:type="table" w:default="1" w:styleId="19">
    <w:name w:val="Normal Table"/>
    <w:semiHidden/>
    <w:uiPriority w:val="0"/>
    <w:pPr>
      <w:keepNext w:val="0"/>
      <w:keepLines w:val="0"/>
      <w:widowControl/>
      <w:suppressLineNumbers w:val="0"/>
      <w:spacing w:before="0" w:beforeAutospacing="0" w:after="0" w:afterAutospacing="0"/>
      <w:ind w:left="0" w:right="0"/>
    </w:pPr>
    <w:rPr>
      <w:rFonts w:ascii="Calibri" w:hAnsi="Calibri" w:cs="Times New Roman"/>
      <w:kern w:val="2"/>
      <w:sz w:val="21"/>
      <w:szCs w:val="22"/>
    </w:rPr>
    <w:tblPr>
      <w:tblStyle w:val="19"/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Normal Indent"/>
    <w:basedOn w:val="1"/>
    <w:qFormat/>
    <w:uiPriority w:val="0"/>
    <w:pPr>
      <w:ind w:firstLine="420" w:firstLineChars="200"/>
    </w:pPr>
  </w:style>
  <w:style w:type="paragraph" w:styleId="4">
    <w:name w:val="Document Map"/>
    <w:basedOn w:val="1"/>
    <w:semiHidden/>
    <w:uiPriority w:val="0"/>
    <w:pPr>
      <w:shd w:val="clear" w:color="auto" w:fill="000080"/>
    </w:pPr>
  </w:style>
  <w:style w:type="paragraph" w:styleId="5">
    <w:name w:val="annotation text"/>
    <w:basedOn w:val="1"/>
    <w:uiPriority w:val="0"/>
    <w:pPr>
      <w:spacing w:line="560" w:lineRule="exact"/>
      <w:jc w:val="left"/>
    </w:pPr>
    <w:rPr>
      <w:szCs w:val="20"/>
    </w:rPr>
  </w:style>
  <w:style w:type="paragraph" w:styleId="6">
    <w:name w:val="Body Text"/>
    <w:basedOn w:val="1"/>
    <w:uiPriority w:val="0"/>
    <w:pPr>
      <w:spacing w:after="120"/>
    </w:pPr>
  </w:style>
  <w:style w:type="paragraph" w:styleId="7">
    <w:name w:val="Body Text Indent"/>
    <w:basedOn w:val="1"/>
    <w:uiPriority w:val="0"/>
    <w:pPr>
      <w:spacing w:after="120"/>
      <w:ind w:left="420" w:leftChars="200"/>
    </w:pPr>
  </w:style>
  <w:style w:type="paragraph" w:styleId="8">
    <w:name w:val="Plain Text"/>
    <w:basedOn w:val="1"/>
    <w:link w:val="25"/>
    <w:uiPriority w:val="0"/>
    <w:rPr>
      <w:rFonts w:ascii="宋体" w:hAnsi="Courier New" w:cs="Courier New"/>
      <w:szCs w:val="21"/>
    </w:rPr>
  </w:style>
  <w:style w:type="paragraph" w:styleId="9">
    <w:name w:val="Date"/>
    <w:basedOn w:val="1"/>
    <w:next w:val="1"/>
    <w:uiPriority w:val="0"/>
    <w:pPr>
      <w:ind w:left="100" w:leftChars="2500"/>
    </w:pPr>
  </w:style>
  <w:style w:type="paragraph" w:styleId="10">
    <w:name w:val="Body Text Indent 2"/>
    <w:basedOn w:val="1"/>
    <w:uiPriority w:val="0"/>
    <w:pPr>
      <w:spacing w:after="120" w:line="480" w:lineRule="auto"/>
      <w:ind w:left="420" w:leftChars="200"/>
    </w:pPr>
  </w:style>
  <w:style w:type="paragraph" w:styleId="11">
    <w:name w:val="Balloon Text"/>
    <w:basedOn w:val="1"/>
    <w:semiHidden/>
    <w:uiPriority w:val="0"/>
    <w:rPr>
      <w:sz w:val="18"/>
      <w:szCs w:val="18"/>
    </w:rPr>
  </w:style>
  <w:style w:type="paragraph" w:styleId="12">
    <w:name w:val="footer"/>
    <w:basedOn w:val="1"/>
    <w:link w:val="26"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13">
    <w:name w:val="header"/>
    <w:basedOn w:val="1"/>
    <w:link w:val="27"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14">
    <w:name w:val="toc 1"/>
    <w:basedOn w:val="1"/>
    <w:next w:val="1"/>
    <w:qFormat/>
    <w:uiPriority w:val="0"/>
    <w:rPr>
      <w:szCs w:val="24"/>
    </w:rPr>
  </w:style>
  <w:style w:type="paragraph" w:styleId="15">
    <w:name w:val="Body Text 2"/>
    <w:basedOn w:val="1"/>
    <w:uiPriority w:val="0"/>
    <w:pPr>
      <w:autoSpaceDE w:val="0"/>
      <w:autoSpaceDN w:val="0"/>
    </w:pPr>
    <w:rPr>
      <w:color w:val="000000"/>
      <w:kern w:val="0"/>
      <w:szCs w:val="20"/>
    </w:rPr>
  </w:style>
  <w:style w:type="paragraph" w:styleId="16">
    <w:name w:val="HTML Preformatted"/>
    <w:basedOn w:val="1"/>
    <w:uiPriority w:val="0"/>
    <w:pPr>
      <w:widowControl/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jc w:val="left"/>
    </w:pPr>
    <w:rPr>
      <w:rFonts w:ascii="Arial" w:hAnsi="Arial" w:eastAsia="宋体" w:cs="Arial"/>
      <w:kern w:val="0"/>
      <w:sz w:val="24"/>
      <w:szCs w:val="24"/>
    </w:rPr>
  </w:style>
  <w:style w:type="paragraph" w:styleId="17">
    <w:name w:val="Normal (Web)"/>
    <w:basedOn w:val="1"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paragraph" w:styleId="18">
    <w:name w:val="Body Text First Indent 2"/>
    <w:basedOn w:val="7"/>
    <w:qFormat/>
    <w:uiPriority w:val="0"/>
    <w:pPr>
      <w:ind w:firstLine="420" w:firstLineChars="200"/>
    </w:pPr>
  </w:style>
  <w:style w:type="table" w:styleId="20">
    <w:name w:val="Table Grid"/>
    <w:basedOn w:val="19"/>
    <w:uiPriority w:val="0"/>
    <w:pPr>
      <w:widowControl w:val="0"/>
      <w:jc w:val="both"/>
    </w:pPr>
    <w:rPr>
      <w:rFonts w:eastAsia="仿宋_GB2312"/>
      <w:sz w:val="28"/>
      <w:szCs w:val="28"/>
    </w:rPr>
    <w:tblPr>
      <w:tblStyle w:val="19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22">
    <w:name w:val="Strong"/>
    <w:basedOn w:val="21"/>
    <w:qFormat/>
    <w:uiPriority w:val="0"/>
    <w:rPr>
      <w:b/>
    </w:rPr>
  </w:style>
  <w:style w:type="character" w:styleId="23">
    <w:name w:val="page number"/>
    <w:basedOn w:val="21"/>
    <w:uiPriority w:val="0"/>
  </w:style>
  <w:style w:type="character" w:styleId="24">
    <w:name w:val="Hyperlink"/>
    <w:basedOn w:val="21"/>
    <w:uiPriority w:val="0"/>
    <w:rPr>
      <w:color w:val="000000"/>
      <w:sz w:val="18"/>
      <w:szCs w:val="18"/>
      <w:u w:val="none"/>
    </w:rPr>
  </w:style>
  <w:style w:type="character" w:customStyle="1" w:styleId="25">
    <w:name w:val="纯文本 Char"/>
    <w:link w:val="8"/>
    <w:semiHidden/>
    <w:locked/>
    <w:uiPriority w:val="0"/>
    <w:rPr>
      <w:rFonts w:ascii="宋体" w:hAnsi="Courier New" w:eastAsia="仿宋_GB2312" w:cs="Courier New"/>
      <w:kern w:val="2"/>
      <w:sz w:val="32"/>
      <w:szCs w:val="21"/>
      <w:lang w:val="en-US" w:eastAsia="zh-CN" w:bidi="ar-SA"/>
    </w:rPr>
  </w:style>
  <w:style w:type="character" w:customStyle="1" w:styleId="26">
    <w:name w:val="页脚 Char"/>
    <w:basedOn w:val="21"/>
    <w:link w:val="12"/>
    <w:uiPriority w:val="0"/>
    <w:rPr>
      <w:rFonts w:eastAsia="仿宋_GB2312"/>
      <w:kern w:val="2"/>
      <w:sz w:val="18"/>
      <w:szCs w:val="32"/>
      <w:lang w:val="en-US" w:eastAsia="zh-CN" w:bidi="ar-SA"/>
    </w:rPr>
  </w:style>
  <w:style w:type="character" w:customStyle="1" w:styleId="27">
    <w:name w:val="页眉 Char"/>
    <w:basedOn w:val="21"/>
    <w:link w:val="13"/>
    <w:uiPriority w:val="0"/>
    <w:rPr>
      <w:rFonts w:eastAsia="仿宋_GB2312"/>
      <w:kern w:val="2"/>
      <w:sz w:val="18"/>
      <w:szCs w:val="18"/>
      <w:lang w:val="en-US" w:eastAsia="zh-CN" w:bidi="ar-SA"/>
    </w:rPr>
  </w:style>
  <w:style w:type="character" w:customStyle="1" w:styleId="28">
    <w:name w:val="apple-converted-space"/>
    <w:basedOn w:val="21"/>
    <w:uiPriority w:val="0"/>
  </w:style>
  <w:style w:type="character" w:customStyle="1" w:styleId="29">
    <w:name w:val="font01"/>
    <w:basedOn w:val="21"/>
    <w:uiPriority w:val="0"/>
    <w:rPr>
      <w:rFonts w:hint="eastAsia" w:ascii="方正小标宋简体" w:hAnsi="方正小标宋简体" w:eastAsia="方正小标宋简体" w:cs="方正小标宋简体"/>
      <w:color w:val="000000"/>
      <w:sz w:val="24"/>
      <w:szCs w:val="24"/>
      <w:u w:val="none"/>
    </w:rPr>
  </w:style>
  <w:style w:type="character" w:customStyle="1" w:styleId="30">
    <w:name w:val="普通文字 Char Char Char Char1"/>
    <w:locked/>
    <w:uiPriority w:val="0"/>
    <w:rPr>
      <w:rFonts w:ascii="仿宋_GB2312" w:hAnsi="Courier New" w:eastAsia="仿宋_GB2312"/>
      <w:kern w:val="2"/>
      <w:sz w:val="32"/>
      <w:szCs w:val="32"/>
      <w:lang w:bidi="ar-SA"/>
    </w:rPr>
  </w:style>
  <w:style w:type="character" w:customStyle="1" w:styleId="31">
    <w:name w:val="正文文本缩进 2 Char Char"/>
    <w:basedOn w:val="21"/>
    <w:uiPriority w:val="0"/>
    <w:rPr>
      <w:rFonts w:ascii="仿宋_GB2312" w:eastAsia="仿宋_GB2312"/>
      <w:kern w:val="2"/>
      <w:sz w:val="21"/>
      <w:lang w:val="en-US" w:eastAsia="zh-CN"/>
    </w:rPr>
  </w:style>
  <w:style w:type="paragraph" w:customStyle="1" w:styleId="32">
    <w:name w:val="默认段落字体 Para Char Char Char Char Char Char Char"/>
    <w:basedOn w:val="1"/>
    <w:uiPriority w:val="0"/>
    <w:rPr>
      <w:rFonts w:ascii="Tahoma" w:hAnsi="Tahoma"/>
      <w:sz w:val="24"/>
      <w:szCs w:val="20"/>
    </w:rPr>
  </w:style>
  <w:style w:type="paragraph" w:customStyle="1" w:styleId="33">
    <w:name w:val=" Char"/>
    <w:basedOn w:val="4"/>
    <w:uiPriority w:val="0"/>
    <w:pPr>
      <w:spacing w:line="360" w:lineRule="auto"/>
      <w:ind w:firstLine="480" w:firstLineChars="200"/>
    </w:pPr>
    <w:rPr>
      <w:rFonts w:eastAsia="仿宋_GB2312"/>
      <w:sz w:val="32"/>
      <w:szCs w:val="32"/>
    </w:rPr>
  </w:style>
  <w:style w:type="paragraph" w:customStyle="1" w:styleId="34">
    <w:name w:val="大题目"/>
    <w:basedOn w:val="1"/>
    <w:uiPriority w:val="0"/>
    <w:pPr>
      <w:spacing w:line="0" w:lineRule="atLeast"/>
      <w:jc w:val="center"/>
    </w:pPr>
    <w:rPr>
      <w:rFonts w:hint="eastAsia" w:ascii="宋体" w:hAnsi="宋体" w:eastAsia="文星简小标宋"/>
      <w:sz w:val="44"/>
      <w:szCs w:val="20"/>
    </w:rPr>
  </w:style>
  <w:style w:type="paragraph" w:customStyle="1" w:styleId="35">
    <w:name w:val=" Char1"/>
    <w:basedOn w:val="1"/>
    <w:uiPriority w:val="0"/>
    <w:pPr>
      <w:spacing w:before="100" w:beforeAutospacing="1" w:after="100" w:afterAutospacing="1"/>
    </w:pPr>
    <w:rPr>
      <w:rFonts w:ascii="仿宋_GB2312"/>
      <w:b/>
    </w:rPr>
  </w:style>
  <w:style w:type="paragraph" w:customStyle="1" w:styleId="36">
    <w:name w:val="Char Char Char Char Char Char Char Char"/>
    <w:basedOn w:val="1"/>
    <w:semiHidden/>
    <w:uiPriority w:val="0"/>
    <w:rPr>
      <w:sz w:val="32"/>
      <w:szCs w:val="21"/>
    </w:rPr>
  </w:style>
  <w:style w:type="paragraph" w:customStyle="1" w:styleId="37">
    <w:name w:val="Char"/>
    <w:basedOn w:val="1"/>
    <w:semiHidden/>
    <w:uiPriority w:val="0"/>
    <w:rPr>
      <w:sz w:val="21"/>
      <w:szCs w:val="21"/>
    </w:rPr>
  </w:style>
  <w:style w:type="paragraph" w:customStyle="1" w:styleId="38">
    <w:name w:val="Char Char Char Char Char Char Char"/>
    <w:basedOn w:val="1"/>
    <w:uiPriority w:val="0"/>
    <w:pPr>
      <w:widowControl/>
      <w:spacing w:after="160" w:line="240" w:lineRule="exact"/>
      <w:ind w:firstLine="980" w:firstLineChars="350"/>
      <w:jc w:val="left"/>
    </w:pPr>
    <w:rPr>
      <w:rFonts w:ascii="Verdana" w:hAnsi="Verdana"/>
      <w:kern w:val="0"/>
      <w:sz w:val="28"/>
      <w:szCs w:val="28"/>
      <w:lang w:eastAsia="en-US"/>
    </w:rPr>
  </w:style>
  <w:style w:type="paragraph" w:customStyle="1" w:styleId="39">
    <w:name w:val="样式 标题 1 + 方正小标宋简体 非加粗 黑色"/>
    <w:basedOn w:val="2"/>
    <w:uiPriority w:val="0"/>
    <w:pPr>
      <w:snapToGrid w:val="0"/>
      <w:spacing w:before="0" w:after="0" w:line="240" w:lineRule="auto"/>
      <w:jc w:val="center"/>
    </w:pPr>
    <w:rPr>
      <w:rFonts w:ascii="方正小标宋简体" w:hAnsi="方正小标宋简体" w:eastAsia="方正小标宋简体"/>
      <w:b w:val="0"/>
      <w:bCs w:val="0"/>
      <w:color w:val="000000"/>
    </w:rPr>
  </w:style>
  <w:style w:type="paragraph" w:styleId="40">
    <w:name w:val="List Paragraph"/>
    <w:basedOn w:val="1"/>
    <w:unhideWhenUsed/>
    <w:qFormat/>
    <w:uiPriority w:val="99"/>
    <w:pPr>
      <w:ind w:firstLine="420" w:firstLineChars="200"/>
    </w:pPr>
  </w:style>
  <w:style w:type="paragraph" w:customStyle="1" w:styleId="41">
    <w:name w:val="正文首行缩进 21"/>
    <w:basedOn w:val="1"/>
    <w:qFormat/>
    <w:uiPriority w:val="99"/>
    <w:pPr>
      <w:ind w:left="420" w:leftChars="200" w:firstLine="420" w:firstLineChars="200"/>
    </w:pPr>
    <w:rPr>
      <w:rFonts w:cs="宋体"/>
      <w:szCs w:val="24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theme" Target="theme/theme1.xml"/><Relationship Id="rId6" Type="http://schemas.openxmlformats.org/officeDocument/2006/relationships/footer" Target="footer2.xml"/><Relationship Id="rId5" Type="http://schemas.openxmlformats.org/officeDocument/2006/relationships/footer" Target="footer1.xml"/><Relationship Id="rId4" Type="http://schemas.openxmlformats.org/officeDocument/2006/relationships/header" Target="header2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微软中国</Company>
  <Pages>7</Pages>
  <Words>2734</Words>
  <Characters>2815</Characters>
  <Lines>6</Lines>
  <Paragraphs>1</Paragraphs>
  <TotalTime>32</TotalTime>
  <ScaleCrop>false</ScaleCrop>
  <LinksUpToDate>false</LinksUpToDate>
  <CharactersWithSpaces>2845</CharactersWithSpaces>
  <Application>WPS Office_11.1.0.11830_F1E327BC-269C-435d-A152-05C5408002CA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2021-01-16T18:33:00Z</dcterms:created>
  <dc:creator>小容</dc:creator>
  <cp:lastModifiedBy>小南</cp:lastModifiedBy>
  <cp:lastPrinted>2022-01-30T09:44:35Z</cp:lastPrinted>
  <dcterms:modified xsi:type="dcterms:W3CDTF">2022-07-12T06:30:34Z</dcterms:modified>
  <dc:title>威海经济技术开发区管理委员会文件</dc:title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2052-11.1.0.11830</vt:lpwstr>
  </property>
  <property fmtid="{D5CDD505-2E9C-101B-9397-08002B2CF9AE}" pid="3" name="ICV">
    <vt:lpwstr>2F92CC69940A4D06B19E5BE087620852</vt:lpwstr>
  </property>
</Properties>
</file>