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F9C0BC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威海经济技术开发区市场监督管理局</w:t>
      </w:r>
    </w:p>
    <w:p w14:paraId="68E04393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 xml:space="preserve">双随机抽查工作实施方案 </w:t>
      </w:r>
    </w:p>
    <w:p w14:paraId="1ED945B5">
      <w:pPr>
        <w:snapToGrid w:val="0"/>
        <w:spacing w:line="560" w:lineRule="exact"/>
        <w:jc w:val="both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5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4"/>
        <w:gridCol w:w="6606"/>
      </w:tblGrid>
      <w:tr w14:paraId="1AE284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7D9D29D1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计划名称</w:t>
            </w:r>
          </w:p>
        </w:tc>
        <w:tc>
          <w:tcPr>
            <w:tcW w:w="6606" w:type="dxa"/>
          </w:tcPr>
          <w:p w14:paraId="0A2568D4">
            <w:pPr>
              <w:spacing w:line="240" w:lineRule="atLeast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威海经开区市场监管局2025年度“双随机、一公开”抽查计划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ab/>
            </w:r>
          </w:p>
        </w:tc>
      </w:tr>
      <w:tr w14:paraId="2963CD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6ECEE7D5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任务名称</w:t>
            </w:r>
          </w:p>
        </w:tc>
        <w:tc>
          <w:tcPr>
            <w:tcW w:w="6606" w:type="dxa"/>
          </w:tcPr>
          <w:p w14:paraId="30054FFD">
            <w:pPr>
              <w:spacing w:line="240" w:lineRule="atLeast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威海经开区市场监管局202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年资质认定检验检测机构“双随机、一公开”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监督检查</w:t>
            </w:r>
          </w:p>
        </w:tc>
      </w:tr>
      <w:tr w14:paraId="069CC6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0E636462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检查科室</w:t>
            </w:r>
          </w:p>
        </w:tc>
        <w:tc>
          <w:tcPr>
            <w:tcW w:w="6606" w:type="dxa"/>
          </w:tcPr>
          <w:p w14:paraId="645BC0D4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质量和知识产权科</w:t>
            </w:r>
          </w:p>
        </w:tc>
      </w:tr>
      <w:tr w14:paraId="753233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52849E0E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抽查事项</w:t>
            </w:r>
          </w:p>
        </w:tc>
        <w:tc>
          <w:tcPr>
            <w:tcW w:w="6606" w:type="dxa"/>
          </w:tcPr>
          <w:p w14:paraId="5467A7EB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资质认定检验检测机构监督检查</w:t>
            </w:r>
          </w:p>
        </w:tc>
      </w:tr>
      <w:tr w14:paraId="2CFD40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  <w:vAlign w:val="center"/>
          </w:tcPr>
          <w:p w14:paraId="498F8768">
            <w:pPr>
              <w:spacing w:line="520" w:lineRule="exact"/>
              <w:jc w:val="both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抽查对象范围</w:t>
            </w:r>
          </w:p>
        </w:tc>
        <w:tc>
          <w:tcPr>
            <w:tcW w:w="6606" w:type="dxa"/>
            <w:vAlign w:val="center"/>
          </w:tcPr>
          <w:p w14:paraId="40C7D2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资质认定检验检测机构</w:t>
            </w:r>
          </w:p>
        </w:tc>
      </w:tr>
      <w:tr w14:paraId="26AD77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207977B3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抽查比例</w:t>
            </w:r>
          </w:p>
        </w:tc>
        <w:tc>
          <w:tcPr>
            <w:tcW w:w="6606" w:type="dxa"/>
            <w:vAlign w:val="center"/>
          </w:tcPr>
          <w:p w14:paraId="69F05151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结合信用风险分类抽取</w:t>
            </w:r>
          </w:p>
        </w:tc>
      </w:tr>
      <w:tr w14:paraId="6245B5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69EB4711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抽查数量</w:t>
            </w:r>
          </w:p>
        </w:tc>
        <w:tc>
          <w:tcPr>
            <w:tcW w:w="6606" w:type="dxa"/>
            <w:vAlign w:val="center"/>
          </w:tcPr>
          <w:p w14:paraId="51342F9A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1家</w:t>
            </w:r>
          </w:p>
        </w:tc>
      </w:tr>
      <w:tr w14:paraId="64A3CB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0D2B244A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34"/>
                <w:sz w:val="24"/>
              </w:rPr>
              <w:t>抽查时间（起-止）</w:t>
            </w:r>
          </w:p>
        </w:tc>
        <w:tc>
          <w:tcPr>
            <w:tcW w:w="6606" w:type="dxa"/>
          </w:tcPr>
          <w:p w14:paraId="3DFF7795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bookmarkStart w:id="0" w:name="_GoBack"/>
            <w:bookmarkEnd w:id="0"/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日至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</w:tc>
      </w:tr>
      <w:tr w14:paraId="71748A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54EDC3C2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检查方式</w:t>
            </w:r>
          </w:p>
        </w:tc>
        <w:tc>
          <w:tcPr>
            <w:tcW w:w="6606" w:type="dxa"/>
          </w:tcPr>
          <w:p w14:paraId="1B9102EB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现场检查</w:t>
            </w:r>
          </w:p>
        </w:tc>
      </w:tr>
      <w:tr w14:paraId="4D9350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0" w:hRule="atLeast"/>
        </w:trPr>
        <w:tc>
          <w:tcPr>
            <w:tcW w:w="1914" w:type="dxa"/>
          </w:tcPr>
          <w:p w14:paraId="07677832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检查要求</w:t>
            </w:r>
          </w:p>
        </w:tc>
        <w:tc>
          <w:tcPr>
            <w:tcW w:w="6606" w:type="dxa"/>
          </w:tcPr>
          <w:p w14:paraId="5C1189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一、规范检验检测机构监管行为。质量和知识产权科要及时通过省“双随机、一公开”监管平台派发任务，抽取检查人员，开展监督检查，并将检查结果录入省“双随机、一公开”监管平台。同时，依托“山东省智慧市场监管一体化平台检验检测机构监管功能模块”建立对每家检验检测机构的工作台账，掌握问题清单，跟进整改情况落实，在规定时限内将检查结果及后处理情况录入该系统。</w:t>
            </w:r>
          </w:p>
          <w:p w14:paraId="7506EC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二、严厉整治违法违规问题。聚焦机动车、生态环境、建筑材料等社会关注度较高、与生态环境保护和人民健康安全关系紧密的重点领域，以检验检测资质认定监管为主责主业，依法依规严厉整治出具不实或虚假检验检测报告、超范围出具检验检测报告等违法违规问题，进一步夯实属地监管职责，做好检验检测机构资质认定的监督管理工作。</w:t>
            </w:r>
          </w:p>
          <w:p w14:paraId="3B669D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三、规范涉企检查行为。要严格执行《国务院办公厅关于严格规范涉企行政检查的意见》《山东省人民政府办公厅关于严格规范涉企行政检查工作的实施意见》等规定，严格遵守“五个严禁”“八个不得”。要实行检查事项清单化管理，规范涉企检查事项、频次、内容。需要第三方机构进行专业技术协助的，应当通过与第三方机构签订协议等方式，明确工作内容及要求。严禁检验检测机构、科研院所等第三方实施行政检查，严禁外包给中介机构实施行政检查。</w:t>
            </w:r>
          </w:p>
          <w:p w14:paraId="50394D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textAlignment w:val="auto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四、落实检查结果后续处理。对一般违法违规问题线索，由属地市场监管所依法依规采取后续处理措施，督促有关机构一个月整改到位，防止监管脱节；对发现严重违法违规问题线索需行政处罚的，依法及时进行立案查处；对涉嫌构成故意提供虚假证明文件、出具证明文件重大失实等违法犯罪的，要现场固定证据，依法移送司法机关追究刑事责任。质量和知识产权科定期对后处理情况进行调度和上报，依托“山东省检验检测机构监管系统”，实施案件线索“发现-移交-处置-公示-上报-归档”全流程闭环管理。要严惩违法失信行为，处罚信息依法通过国家企业信用信息公示系统（山东）向社会公开，并通过部门门户网站、新闻媒体等曝光，切实构建“一处违法、处处受限”的社会共治格局。</w:t>
            </w:r>
          </w:p>
        </w:tc>
      </w:tr>
      <w:tr w14:paraId="177F2E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</w:trPr>
        <w:tc>
          <w:tcPr>
            <w:tcW w:w="1914" w:type="dxa"/>
            <w:vAlign w:val="center"/>
          </w:tcPr>
          <w:p w14:paraId="58CC0F6F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备注</w:t>
            </w:r>
          </w:p>
        </w:tc>
        <w:tc>
          <w:tcPr>
            <w:tcW w:w="6606" w:type="dxa"/>
            <w:vAlign w:val="center"/>
          </w:tcPr>
          <w:p w14:paraId="6C615741">
            <w:pPr>
              <w:spacing w:line="520" w:lineRule="exact"/>
              <w:jc w:val="both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检查人员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2人</w:t>
            </w:r>
          </w:p>
        </w:tc>
      </w:tr>
    </w:tbl>
    <w:p w14:paraId="3BFCBFF7">
      <w:pPr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31FC827E-05A0-4F74-B369-5405BDEF5199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99112EC2-2E92-4EB1-A8F9-29ADBAE8548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DFlMjdiNzg1MDZiODY3MzhhNGEwMmM4YmI5NDcwNjgifQ=="/>
  </w:docVars>
  <w:rsids>
    <w:rsidRoot w:val="61F740DB"/>
    <w:rsid w:val="00036B56"/>
    <w:rsid w:val="000471F2"/>
    <w:rsid w:val="0005043D"/>
    <w:rsid w:val="00176257"/>
    <w:rsid w:val="001A515A"/>
    <w:rsid w:val="001B7366"/>
    <w:rsid w:val="00236E94"/>
    <w:rsid w:val="0024321E"/>
    <w:rsid w:val="00251D15"/>
    <w:rsid w:val="00440C3A"/>
    <w:rsid w:val="00453F46"/>
    <w:rsid w:val="00520971"/>
    <w:rsid w:val="00532078"/>
    <w:rsid w:val="00581023"/>
    <w:rsid w:val="005C6A96"/>
    <w:rsid w:val="005F77A9"/>
    <w:rsid w:val="006C6B3D"/>
    <w:rsid w:val="00781B3C"/>
    <w:rsid w:val="0080599E"/>
    <w:rsid w:val="0087120B"/>
    <w:rsid w:val="008F0BC0"/>
    <w:rsid w:val="00926CB0"/>
    <w:rsid w:val="00934357"/>
    <w:rsid w:val="0094053B"/>
    <w:rsid w:val="009D0906"/>
    <w:rsid w:val="00A04BF1"/>
    <w:rsid w:val="00A44E1E"/>
    <w:rsid w:val="00E25DF1"/>
    <w:rsid w:val="00E46ED6"/>
    <w:rsid w:val="00EE78CD"/>
    <w:rsid w:val="00F12EAE"/>
    <w:rsid w:val="00F13DC5"/>
    <w:rsid w:val="00F27B46"/>
    <w:rsid w:val="00F40558"/>
    <w:rsid w:val="00FF48E8"/>
    <w:rsid w:val="00FF4CE5"/>
    <w:rsid w:val="03F61140"/>
    <w:rsid w:val="063E1825"/>
    <w:rsid w:val="0AEB2D52"/>
    <w:rsid w:val="0E417FE5"/>
    <w:rsid w:val="0FCF7334"/>
    <w:rsid w:val="111C69BE"/>
    <w:rsid w:val="13D94D2B"/>
    <w:rsid w:val="14790898"/>
    <w:rsid w:val="16A608DB"/>
    <w:rsid w:val="1C900D57"/>
    <w:rsid w:val="1EAC6F54"/>
    <w:rsid w:val="206D462E"/>
    <w:rsid w:val="207963C1"/>
    <w:rsid w:val="291C614A"/>
    <w:rsid w:val="2B032F6F"/>
    <w:rsid w:val="2D6576E8"/>
    <w:rsid w:val="34752924"/>
    <w:rsid w:val="356A184E"/>
    <w:rsid w:val="38EC0374"/>
    <w:rsid w:val="39953419"/>
    <w:rsid w:val="3BFA5EAB"/>
    <w:rsid w:val="3E3B0598"/>
    <w:rsid w:val="3E9F2530"/>
    <w:rsid w:val="41314D62"/>
    <w:rsid w:val="41BA008B"/>
    <w:rsid w:val="476C7DA7"/>
    <w:rsid w:val="4A424C0B"/>
    <w:rsid w:val="4B6A0D0C"/>
    <w:rsid w:val="4DEB34C4"/>
    <w:rsid w:val="4E2F42A1"/>
    <w:rsid w:val="4F0163D1"/>
    <w:rsid w:val="54253675"/>
    <w:rsid w:val="542E16B3"/>
    <w:rsid w:val="546B3E70"/>
    <w:rsid w:val="5757462B"/>
    <w:rsid w:val="592117E6"/>
    <w:rsid w:val="5A2C21F1"/>
    <w:rsid w:val="5DBD01EC"/>
    <w:rsid w:val="5E02458E"/>
    <w:rsid w:val="607A0F88"/>
    <w:rsid w:val="60B3541A"/>
    <w:rsid w:val="61F740DB"/>
    <w:rsid w:val="626A442A"/>
    <w:rsid w:val="63583029"/>
    <w:rsid w:val="64645B55"/>
    <w:rsid w:val="68153851"/>
    <w:rsid w:val="6F851C1B"/>
    <w:rsid w:val="716A5020"/>
    <w:rsid w:val="777234E1"/>
    <w:rsid w:val="782C7005"/>
    <w:rsid w:val="785E6B5E"/>
    <w:rsid w:val="78941235"/>
    <w:rsid w:val="79C95312"/>
    <w:rsid w:val="7A80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9">
    <w:name w:val="列出段落1"/>
    <w:basedOn w:val="1"/>
    <w:autoRedefine/>
    <w:qFormat/>
    <w:uiPriority w:val="0"/>
    <w:pPr>
      <w:ind w:firstLine="420" w:firstLineChars="200"/>
    </w:pPr>
    <w:rPr>
      <w:rFonts w:ascii="Calibri" w:hAnsi="Calibri" w:cs="宋体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1047</Words>
  <Characters>1061</Characters>
  <Lines>1</Lines>
  <Paragraphs>1</Paragraphs>
  <TotalTime>20</TotalTime>
  <ScaleCrop>false</ScaleCrop>
  <LinksUpToDate>false</LinksUpToDate>
  <CharactersWithSpaces>1063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2021-04-29T02:03:00Z</dcterms:created>
  <dc:creator>梁洁</dc:creator>
  <cp:lastModifiedBy>璐璐</cp:lastModifiedBy>
  <cp:lastPrinted>2024-05-06T02:16:00Z</cp:lastPrinted>
  <dcterms:modified xsi:type="dcterms:W3CDTF">2025-09-03T01:30:05Z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B290A463C8424E2592BDD8D4A2AECB4C_12</vt:lpwstr>
  </property>
  <property fmtid="{D5CDD505-2E9C-101B-9397-08002B2CF9AE}" pid="4" name="KSOTemplateDocerSaveRecord">
    <vt:lpwstr>eyJoZGlkIjoiZjUwNWMxYTVjMGUzZjdmNGZkNTAxNTBhN2ZiMDE5NjEiLCJ1c2VySWQiOiI0NTQwODUwNzQifQ==</vt:lpwstr>
  </property>
</Properties>
</file>