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jc w:val="center"/>
        <w:rPr>
          <w:rFonts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威海经济技术开发区</w:t>
      </w:r>
    </w:p>
    <w:p>
      <w:pPr>
        <w:spacing w:line="570" w:lineRule="exact"/>
        <w:jc w:val="center"/>
        <w:rPr>
          <w:rFonts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关于2019年地方政府债务限额</w:t>
      </w:r>
      <w:r>
        <w:rPr>
          <w:rFonts w:hint="eastAsia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、</w:t>
      </w:r>
      <w:r>
        <w:rPr>
          <w:rFonts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地方政府债券安排使用意见</w:t>
      </w:r>
      <w:r>
        <w:rPr>
          <w:rFonts w:hint="eastAsia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及财政收支</w:t>
      </w:r>
      <w:r>
        <w:rPr>
          <w:rFonts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预算调整</w:t>
      </w:r>
      <w:r>
        <w:rPr>
          <w:rFonts w:hint="eastAsia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方案</w:t>
      </w:r>
      <w:r>
        <w:rPr>
          <w:rFonts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的报告</w:t>
      </w:r>
    </w:p>
    <w:p>
      <w:pPr>
        <w:pStyle w:val="11"/>
        <w:adjustRightInd/>
        <w:spacing w:line="570" w:lineRule="exact"/>
        <w:jc w:val="center"/>
        <w:rPr>
          <w:rFonts w:ascii="Times New Roman" w:hAnsi="Times New Roman" w:eastAsia="楷体_GB2312"/>
          <w:snapToGrid w:val="0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（</w:t>
      </w:r>
      <w:r>
        <w:rPr>
          <w:rFonts w:ascii="Times New Roman" w:hAnsi="Times New Roman" w:eastAsia="楷体_GB2312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2019年8月</w:t>
      </w:r>
      <w:r>
        <w:rPr>
          <w:rFonts w:hint="eastAsia" w:ascii="Times New Roman" w:hAnsi="Times New Roman" w:eastAsia="楷体_GB2312"/>
          <w:snapToGrid w:val="0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30</w:t>
      </w:r>
      <w:bookmarkStart w:id="0" w:name="_GoBack"/>
      <w:bookmarkEnd w:id="0"/>
      <w:r>
        <w:rPr>
          <w:rFonts w:ascii="Times New Roman" w:hAnsi="Times New Roman" w:eastAsia="楷体_GB2312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Times New Roman" w:hAnsi="Times New Roman" w:eastAsia="楷体_GB2312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）</w:t>
      </w:r>
    </w:p>
    <w:p>
      <w:pPr>
        <w:pStyle w:val="11"/>
        <w:adjustRightInd/>
        <w:spacing w:line="570" w:lineRule="exact"/>
        <w:jc w:val="center"/>
        <w:rPr>
          <w:rFonts w:ascii="Times New Roman" w:hAnsi="Times New Roman" w:eastAsia="楷体_GB2312"/>
          <w:snapToGrid w:val="0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楷体_GB2312"/>
          <w:color w:val="000000" w:themeColor="text1"/>
          <w14:textFill>
            <w14:solidFill>
              <w14:schemeClr w14:val="tx1"/>
            </w14:solidFill>
          </w14:textFill>
        </w:rPr>
        <w:t>威海经济技术开发区管委会</w:t>
      </w:r>
    </w:p>
    <w:p>
      <w:pPr>
        <w:pStyle w:val="2"/>
        <w:spacing w:line="570" w:lineRule="exact"/>
        <w:rPr>
          <w:rFonts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2"/>
        <w:spacing w:line="600" w:lineRule="exact"/>
        <w:rPr>
          <w:rFonts w:ascii="Times New Roman" w:hAnsi="Times New Roman"/>
        </w:rPr>
      </w:pPr>
      <w:r>
        <w:rPr>
          <w:rFonts w:hint="eastAsia"/>
          <w:snapToGrid w:val="0"/>
        </w:rPr>
        <w:t>主任，各位副主任，秘书长，各位委员：</w:t>
      </w:r>
    </w:p>
    <w:p>
      <w:pPr>
        <w:spacing w:line="570" w:lineRule="exact"/>
        <w:ind w:firstLine="632" w:firstLineChars="200"/>
      </w:pPr>
      <w:r>
        <w:t>受市人民政府委托，现向市人大常委会本次会议提交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威海经济技术开发区2019年地方政府债务限额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、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地方政府债券安排使用意见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及财政收支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预算调整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方案</w:t>
      </w:r>
      <w:r>
        <w:t>的报告，请予审议。</w:t>
      </w:r>
    </w:p>
    <w:p>
      <w:pPr>
        <w:spacing w:line="570" w:lineRule="exact"/>
        <w:ind w:firstLine="632" w:firstLineChars="200"/>
        <w:rPr>
          <w:rFonts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一、2019年地方政府债务限额</w:t>
      </w:r>
      <w:r>
        <w:rPr>
          <w:rFonts w:hint="eastAsia"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分配情况</w:t>
      </w:r>
    </w:p>
    <w:p>
      <w:pPr>
        <w:spacing w:line="570" w:lineRule="exact"/>
        <w:ind w:firstLine="63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按市级初步分配意见，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安排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我区2019年度地方政府债务限额为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59.1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亿元。</w:t>
      </w:r>
    </w:p>
    <w:p>
      <w:pPr>
        <w:spacing w:line="570" w:lineRule="exact"/>
        <w:ind w:firstLine="632" w:firstLineChars="200"/>
        <w:rPr>
          <w:rFonts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二</w:t>
      </w:r>
      <w:r>
        <w:rPr>
          <w:rFonts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、</w:t>
      </w:r>
      <w:r>
        <w:rPr>
          <w:rFonts w:hint="eastAsia"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2019年</w:t>
      </w:r>
      <w:r>
        <w:rPr>
          <w:rFonts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上半年地方政府债券</w:t>
      </w:r>
      <w:r>
        <w:rPr>
          <w:rFonts w:hint="eastAsia"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分配情况</w:t>
      </w:r>
    </w:p>
    <w:p>
      <w:pPr>
        <w:spacing w:line="570" w:lineRule="exact"/>
        <w:ind w:firstLine="632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按市级初步分配意见，2019年上半年市级分配我区地方政府债券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7.172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亿元，其中：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再融资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债券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1.172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亿元（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其中：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一般债券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4600万元，专项债券7120万元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），新增债券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6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亿元（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其中：土地储备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专项债券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1.93亿元，创新型专项债券4.07亿元）。</w:t>
      </w:r>
    </w:p>
    <w:p>
      <w:pPr>
        <w:spacing w:line="570" w:lineRule="exact"/>
        <w:ind w:firstLine="632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按上级政策，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2019年起不再发行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置换债券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，改为发行再融资债券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用于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偿还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2019年到期的地方政府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债券还本支出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；新增债券用于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齐鲁大道沿线土地储备和威海服务贸易产业园建设等项目支出。</w:t>
      </w:r>
    </w:p>
    <w:p>
      <w:pPr>
        <w:spacing w:line="570" w:lineRule="exact"/>
        <w:ind w:firstLine="632" w:firstLineChars="200"/>
        <w:rPr>
          <w:rFonts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三、</w:t>
      </w:r>
      <w:r>
        <w:rPr>
          <w:rFonts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2019年区级新增债券安排使用意见</w:t>
      </w:r>
    </w:p>
    <w:p>
      <w:pPr>
        <w:spacing w:line="570" w:lineRule="exact"/>
        <w:ind w:firstLine="632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市级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分配我区的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6亿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元新增专项债券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，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纳入政府性基金预算管理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，拟安排用于齐鲁大道沿线土地整理储备项目1.93亿元，威海服务贸易产业园E地块互联网+创新研究中心项目4.07亿元。</w:t>
      </w:r>
    </w:p>
    <w:p>
      <w:pPr>
        <w:spacing w:line="570" w:lineRule="exact"/>
        <w:ind w:firstLine="632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/>
          <w:color w:val="000000" w:themeColor="text1"/>
          <w14:textFill>
            <w14:solidFill>
              <w14:schemeClr w14:val="tx1"/>
            </w14:solidFill>
          </w14:textFill>
        </w:rPr>
        <w:t>威海服务贸易产业园（东方智慧谷）项目为新增项目，位于威海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经济技术开发区大庆路南，齐鲁大道北，香港路东，东海路西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，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是全国首个服务贸易实体化园区。园区规划占地500亩，总投资49.6亿元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，其中E 地块互联网+创新研究中心及配套项目计划总投资9.2亿元，拟发行专项债券筹资4.07亿元，其他方式融资3亿元。</w:t>
      </w:r>
    </w:p>
    <w:p>
      <w:pPr>
        <w:spacing w:line="570" w:lineRule="exact"/>
        <w:ind w:firstLine="632" w:firstLineChars="200"/>
        <w:rPr>
          <w:rFonts w:eastAsia="黑体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四</w:t>
      </w:r>
      <w:r>
        <w:rPr>
          <w:rFonts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、</w:t>
      </w:r>
      <w:r>
        <w:rPr>
          <w:rFonts w:hint="eastAsia"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财政收支</w:t>
      </w:r>
      <w:r>
        <w:rPr>
          <w:rFonts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预算调整</w:t>
      </w:r>
      <w:r>
        <w:rPr>
          <w:rFonts w:hint="eastAsia" w:eastAsia="黑体"/>
          <w:snapToGrid w:val="0"/>
          <w:color w:val="000000" w:themeColor="text1"/>
          <w14:textFill>
            <w14:solidFill>
              <w14:schemeClr w14:val="tx1"/>
            </w14:solidFill>
          </w14:textFill>
        </w:rPr>
        <w:t>方案</w:t>
      </w:r>
    </w:p>
    <w:p>
      <w:pPr>
        <w:spacing w:line="570" w:lineRule="exact"/>
        <w:ind w:firstLine="64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2019年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，市级分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配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我区地方政府债券额度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7.172亿元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，导致收支发生变化，建议加以调整。</w:t>
      </w:r>
    </w:p>
    <w:p>
      <w:pPr>
        <w:adjustRightInd w:val="0"/>
        <w:snapToGrid w:val="0"/>
        <w:spacing w:line="570" w:lineRule="exact"/>
        <w:ind w:firstLine="64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hAnsi="楷体" w:eastAsia="楷体"/>
          <w:color w:val="000000" w:themeColor="text1"/>
          <w14:textFill>
            <w14:solidFill>
              <w14:schemeClr w14:val="tx1"/>
            </w14:solidFill>
          </w14:textFill>
        </w:rPr>
        <w:t>（一</w:t>
      </w:r>
      <w:r>
        <w:rPr>
          <w:rFonts w:hAnsi="楷体" w:eastAsia="楷体"/>
          <w:color w:val="000000" w:themeColor="text1"/>
          <w14:textFill>
            <w14:solidFill>
              <w14:schemeClr w14:val="tx1"/>
            </w14:solidFill>
          </w14:textFill>
        </w:rPr>
        <w:t>）</w:t>
      </w:r>
      <w:r>
        <w:rPr>
          <w:rFonts w:hint="eastAsia" w:hAnsi="楷体" w:eastAsia="楷体"/>
          <w:color w:val="000000" w:themeColor="text1"/>
          <w14:textFill>
            <w14:solidFill>
              <w14:schemeClr w14:val="tx1"/>
            </w14:solidFill>
          </w14:textFill>
        </w:rPr>
        <w:t>一般公共预算调整情况。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区级一般公共预算的“地方政府一般债券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转贷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收入”调增至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0.46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亿元（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全部为再融资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债券），较年初预算增加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0.46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亿元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；支出相应增加0.46亿元，全部通过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“地方政府一般债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务还本支出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”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列支。经上述调整，2019年区级一般公共预算收入（支出）总计由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361352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万元调整至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365952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万元。</w:t>
      </w:r>
    </w:p>
    <w:p>
      <w:pPr>
        <w:adjustRightInd w:val="0"/>
        <w:snapToGrid w:val="0"/>
        <w:spacing w:line="570" w:lineRule="exact"/>
        <w:ind w:firstLine="632" w:firstLineChars="200"/>
        <w:rPr>
          <w:rFonts w:ascii="楷体" w:hAnsi="楷体" w:eastAsia="楷体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hAnsi="楷体" w:eastAsia="楷体"/>
          <w:color w:val="000000" w:themeColor="text1"/>
          <w14:textFill>
            <w14:solidFill>
              <w14:schemeClr w14:val="tx1"/>
            </w14:solidFill>
          </w14:textFill>
        </w:rPr>
        <w:t>（二）</w:t>
      </w:r>
      <w:r>
        <w:rPr>
          <w:rFonts w:ascii="楷体" w:hAnsi="楷体" w:eastAsia="楷体"/>
          <w:color w:val="000000" w:themeColor="text1"/>
          <w14:textFill>
            <w14:solidFill>
              <w14:schemeClr w14:val="tx1"/>
            </w14:solidFill>
          </w14:textFill>
        </w:rPr>
        <w:t>政府性基金预算调整情况。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区级政府性基金预算的“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地方政府专项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债券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转贷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收入”调增至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6.712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亿元（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其中：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新增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专项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债券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6亿元，再融资专项债券0.712亿元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）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，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较年初预算增加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6.712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亿元。支出相应增加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6.712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亿元，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其中：创新型专项债券4.07亿元通过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“</w:t>
      </w:r>
      <w:r>
        <w:rPr>
          <w:rFonts w:hint="eastAsia" w:ascii="仿宋_GB2312"/>
          <w:color w:val="000000" w:themeColor="text1"/>
          <w14:textFill>
            <w14:solidFill>
              <w14:schemeClr w14:val="tx1"/>
            </w14:solidFill>
          </w14:textFill>
        </w:rPr>
        <w:t>其他政府性基金及对应专项债务收入安排的支出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”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列支；土地储备专项债券1.93亿元通过“土地储备专项债券收入安排的支出”列支；再融资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债券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0.712亿元通过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“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地方政府专项债务还本支出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”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列支。经上述调整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，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2019年区级政府性基金收入（支出）总计由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68210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万元调增至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135330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万元。</w:t>
      </w:r>
    </w:p>
    <w:p>
      <w:pPr>
        <w:spacing w:line="570" w:lineRule="exact"/>
        <w:ind w:firstLine="632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以上报告，请予审议。</w:t>
      </w:r>
    </w:p>
    <w:sectPr>
      <w:footerReference r:id="rId3" w:type="even"/>
      <w:pgSz w:w="11906" w:h="16838"/>
      <w:pgMar w:top="2098" w:right="1531" w:bottom="1985" w:left="1531" w:header="851" w:footer="1418" w:gutter="0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ind w:firstLine="280" w:firstLineChars="100"/>
      <w:rPr>
        <w:rStyle w:val="6"/>
        <w:rFonts w:ascii="宋体" w:hAnsi="宋体" w:eastAsia="宋体"/>
        <w:sz w:val="28"/>
        <w:szCs w:val="28"/>
      </w:rPr>
    </w:pPr>
    <w:r>
      <w:rPr>
        <w:rStyle w:val="6"/>
        <w:rFonts w:hint="eastAsia"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Style w:val="6"/>
        <w:rFonts w:ascii="宋体" w:hAnsi="宋体" w:eastAsia="宋体"/>
        <w:sz w:val="28"/>
        <w:szCs w:val="28"/>
      </w:rPr>
      <w:instrText xml:space="preserve">PAGE 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Style w:val="6"/>
        <w:rFonts w:ascii="宋体" w:hAnsi="宋体" w:eastAsia="宋体"/>
        <w:sz w:val="28"/>
        <w:szCs w:val="28"/>
      </w:rPr>
      <w:t>2</w:t>
    </w:r>
    <w:r>
      <w:rPr>
        <w:rFonts w:ascii="宋体" w:hAnsi="宋体" w:eastAsia="宋体"/>
        <w:sz w:val="28"/>
        <w:szCs w:val="28"/>
      </w:rPr>
      <w:fldChar w:fldCharType="end"/>
    </w:r>
    <w:r>
      <w:rPr>
        <w:rStyle w:val="6"/>
        <w:rFonts w:hint="eastAsia" w:ascii="宋体" w:hAnsi="宋体" w:eastAsia="宋体"/>
        <w:sz w:val="28"/>
        <w:szCs w:val="28"/>
      </w:rPr>
      <w:t xml:space="preserve"> —</w:t>
    </w:r>
  </w:p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37A"/>
    <w:rsid w:val="0005768D"/>
    <w:rsid w:val="00117B4C"/>
    <w:rsid w:val="0037337A"/>
    <w:rsid w:val="004453EA"/>
    <w:rsid w:val="004633DC"/>
    <w:rsid w:val="004B2FE3"/>
    <w:rsid w:val="005C3A92"/>
    <w:rsid w:val="0072236D"/>
    <w:rsid w:val="00A55BBD"/>
    <w:rsid w:val="00BD33B7"/>
    <w:rsid w:val="00C901BA"/>
    <w:rsid w:val="00CB1CE1"/>
    <w:rsid w:val="00FF76AD"/>
    <w:rsid w:val="4A262F47"/>
    <w:rsid w:val="4D654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8"/>
    <w:qFormat/>
    <w:uiPriority w:val="0"/>
    <w:rPr>
      <w:rFonts w:ascii="宋体" w:hAnsi="Courier New" w:cs="Courier New"/>
      <w:szCs w:val="21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8">
    <w:name w:val="纯文本 Char"/>
    <w:link w:val="2"/>
    <w:qFormat/>
    <w:locked/>
    <w:uiPriority w:val="0"/>
    <w:rPr>
      <w:rFonts w:ascii="宋体" w:hAnsi="Courier New" w:eastAsia="仿宋_GB2312" w:cs="Courier New"/>
      <w:sz w:val="32"/>
      <w:szCs w:val="21"/>
    </w:rPr>
  </w:style>
  <w:style w:type="character" w:customStyle="1" w:styleId="9">
    <w:name w:val="页脚 Char"/>
    <w:basedOn w:val="5"/>
    <w:link w:val="3"/>
    <w:qFormat/>
    <w:uiPriority w:val="0"/>
    <w:rPr>
      <w:rFonts w:ascii="Times New Roman" w:hAnsi="Times New Roman" w:eastAsia="仿宋_GB2312" w:cs="Times New Roman"/>
      <w:sz w:val="18"/>
      <w:szCs w:val="32"/>
    </w:rPr>
  </w:style>
  <w:style w:type="character" w:customStyle="1" w:styleId="10">
    <w:name w:val="纯文本 Char1"/>
    <w:basedOn w:val="5"/>
    <w:semiHidden/>
    <w:qFormat/>
    <w:uiPriority w:val="99"/>
    <w:rPr>
      <w:rFonts w:ascii="宋体" w:hAnsi="Courier New" w:eastAsia="宋体" w:cs="Courier New"/>
      <w:szCs w:val="21"/>
    </w:rPr>
  </w:style>
  <w:style w:type="paragraph" w:customStyle="1" w:styleId="11">
    <w:name w:val="纯文本1"/>
    <w:basedOn w:val="1"/>
    <w:qFormat/>
    <w:uiPriority w:val="0"/>
    <w:pPr>
      <w:adjustRightInd w:val="0"/>
      <w:textAlignment w:val="baseline"/>
    </w:pPr>
    <w:rPr>
      <w:rFonts w:ascii="宋体" w:hAnsi="Courier New"/>
      <w:szCs w:val="20"/>
    </w:rPr>
  </w:style>
  <w:style w:type="character" w:customStyle="1" w:styleId="12">
    <w:name w:val="页眉 Char"/>
    <w:basedOn w:val="5"/>
    <w:link w:val="4"/>
    <w:qFormat/>
    <w:uiPriority w:val="99"/>
    <w:rPr>
      <w:rFonts w:ascii="Times New Roman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BE9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181</Words>
  <Characters>1033</Characters>
  <Lines>8</Lines>
  <Paragraphs>2</Paragraphs>
  <TotalTime>5</TotalTime>
  <ScaleCrop>false</ScaleCrop>
  <LinksUpToDate>false</LinksUpToDate>
  <CharactersWithSpaces>1212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2019-07-30T03:04:00Z</dcterms:created>
  <dc:creator>PC</dc:creator>
  <cp:lastModifiedBy>Administrator</cp:lastModifiedBy>
  <cp:lastPrinted>2019-07-30T03:06:00Z</cp:lastPrinted>
  <dcterms:modified xsi:type="dcterms:W3CDTF">2019-08-27T03:11:04Z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