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经开区商务局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“双随机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、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一公开”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监管工作实施细则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第一章  总 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第一条  为贯彻落实《国务院关于在市场监管领域全面推行部门联合“双随机、一公开”监管的意见》（国发〔2019〕5号）《山东省人民政府关于在市场监管领域全面推行部门联合“双随机、一公开”监管的实施意见》（鲁政发〔2019〕10 号）和《威海市市场监管领域全面推行部门联合“双随机、一公开”监管的实施细则（试行）》，依法有序、科学规范实施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经区商务局</w:t>
      </w:r>
      <w:r>
        <w:rPr>
          <w:rFonts w:hint="eastAsia" w:ascii="仿宋_GB2312" w:hAnsi="仿宋_GB2312" w:eastAsia="仿宋_GB2312" w:cs="仿宋_GB2312"/>
          <w:sz w:val="32"/>
          <w:szCs w:val="32"/>
        </w:rPr>
        <w:t>“双随机、一公开” 监管工作，制定本工作细则。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第二条  本细则所称“双随机、一公开”监管，是指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经开区商务局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根据随机抽查事项清单和抽查计划开展监督检查时，随机抽取检查对象，随机选派执法检查人员，并将抽查情况及查处结果及时向社会公开的监管工作机制。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第三条 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经开区商务局</w:t>
      </w:r>
      <w:r>
        <w:rPr>
          <w:rFonts w:hint="eastAsia" w:ascii="仿宋_GB2312" w:hAnsi="仿宋_GB2312" w:eastAsia="仿宋_GB2312" w:cs="仿宋_GB2312"/>
          <w:sz w:val="32"/>
          <w:szCs w:val="32"/>
        </w:rPr>
        <w:t>使用省政府部门联合“双随机、一公开” 监管工作平台（以下简称省工作平台）对“双随机、一公开”监管工作实行全程电子化管理。监管工作各个环节均在省工作平台操作实施，做到全程留痕、流程可溯。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第四条  随机抽查工作应当遵循依法实施、协同推进、权责明确、公开透明的原则。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第二章  建立“一单、两库”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第五条  根据法律法规规章规定，结合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经开区商务局</w:t>
      </w:r>
      <w:r>
        <w:rPr>
          <w:rFonts w:hint="eastAsia" w:ascii="仿宋_GB2312" w:hAnsi="仿宋_GB2312" w:eastAsia="仿宋_GB2312" w:cs="仿宋_GB2312"/>
          <w:sz w:val="32"/>
          <w:szCs w:val="32"/>
        </w:rPr>
        <w:t>执法事项目录清单，制定随机抽查事项清单（简称“一单”）并进行动态调整。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第六条  随机抽查事项清单应明确抽查依据、对象、内容、方式、比例和频次等。法律法规规章对检查比例和频次有明确规定的，按规定实施；没有明确规定的，抽查比例原则上不低于检查对象名录库的5%，抽查频次每年不少于1次；对同一检查对象每年实施抽查次数原则上不超过2次。对投诉举报多、列入异常名录、有失信行为和严重违法违规记录等情况的检查对象，加大检查力度，不受比例和频次限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第七条 随机抽查事项清单和调整情况应及时导入省工作平台，并通过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经开区管委</w:t>
      </w:r>
      <w:r>
        <w:rPr>
          <w:rFonts w:hint="eastAsia" w:ascii="仿宋_GB2312" w:hAnsi="仿宋_GB2312" w:eastAsia="仿宋_GB2312" w:cs="仿宋_GB2312"/>
          <w:sz w:val="32"/>
          <w:szCs w:val="32"/>
        </w:rPr>
        <w:t>网站、国家企业信用信息公示系统（山东）〔以下简称公示系统（山东）〕向社会公开。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第八条  在省工作平台建立健全与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经开区商务局</w:t>
      </w:r>
      <w:r>
        <w:rPr>
          <w:rFonts w:hint="eastAsia" w:ascii="仿宋_GB2312" w:hAnsi="仿宋_GB2312" w:eastAsia="仿宋_GB2312" w:cs="仿宋_GB2312"/>
          <w:sz w:val="32"/>
          <w:szCs w:val="32"/>
        </w:rPr>
        <w:t>随机抽查事项清单、职责相对应的检查对象名录库和执法检查人员名录库（统称“两库”），对“两库”进行动态管理。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第九条  各监管科室提出与本科室监管职责相对应的检查对象名录，形成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经开区商务局</w:t>
      </w:r>
      <w:r>
        <w:rPr>
          <w:rFonts w:hint="eastAsia" w:ascii="仿宋_GB2312" w:hAnsi="仿宋_GB2312" w:eastAsia="仿宋_GB2312" w:cs="仿宋_GB2312"/>
          <w:sz w:val="32"/>
          <w:szCs w:val="32"/>
        </w:rPr>
        <w:t>检查对象名录库。检查对象名录库应涵盖全部检查对象。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第十条  各监管科室提出本科室执法检查人员名录，形成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经开区商务局</w:t>
      </w:r>
      <w:r>
        <w:rPr>
          <w:rFonts w:hint="eastAsia" w:ascii="仿宋_GB2312" w:hAnsi="仿宋_GB2312" w:eastAsia="仿宋_GB2312" w:cs="仿宋_GB2312"/>
          <w:sz w:val="32"/>
          <w:szCs w:val="32"/>
        </w:rPr>
        <w:t>执法检查人员名录库。执法检查人员名录库包括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具有行政执法资格的工作人员和从事日常监管工作的人员等，按照执法资质、业务专长进行分类标注。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第三章  制定抽查计划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第十一条  各监管科室每年1月上旬，根据随机抽查事项清单，结合监管工作需求，制定本科室负责抽查事项对应的年度抽查工作计划，形成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经开区商务局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年度抽查工作计划，报市市场监管局备案。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第十二条  年度抽查工作计划应涵盖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经开区商务局</w:t>
      </w:r>
      <w:r>
        <w:rPr>
          <w:rFonts w:hint="eastAsia" w:ascii="仿宋_GB2312" w:hAnsi="仿宋_GB2312" w:eastAsia="仿宋_GB2312" w:cs="仿宋_GB2312"/>
          <w:sz w:val="32"/>
          <w:szCs w:val="32"/>
        </w:rPr>
        <w:t>随机抽查事项清单的全部事项，并对每一抽查事项分别明确抽查对象、抽查内容、抽查方式、抽查比例和频次、抽查时间等。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第十三条  根据法律法规规章修订情况和工作实际，对年度抽查工作计划进行动态调整，通过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经开区管委</w:t>
      </w:r>
      <w:r>
        <w:rPr>
          <w:rFonts w:hint="eastAsia" w:ascii="仿宋_GB2312" w:hAnsi="仿宋_GB2312" w:eastAsia="仿宋_GB2312" w:cs="仿宋_GB2312"/>
          <w:sz w:val="32"/>
          <w:szCs w:val="32"/>
        </w:rPr>
        <w:t>网站、公示系统（山东）向社会公开。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第四章  生成抽查任务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第十四条  各监管科室执行年度抽查计划时，应在省工作平台预先设置任务，经任务审核、随机抽取检查对象、随机匹配执法检查人员等流程后生成任务。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第十五条 对在同一时间段内，不同抽查任务抽取到同一检查对象的，协调任务执行科室合并实施检查任务，实现“进一次门、查多项事”。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第十六条  各监管科室设置任务时，根据工作需要，采取不定向方式（直接从检查对象名录库所有主体中抽取）或定向方式（按照主体类型、经营规模、地理区域等特定条件抽取）随机抽取检查对象。 通过自动方式（直接从执法检查人员名录库所有人员中抽取）或手动方式(综合考虑执法资质、业务特长、抽查对象等条件抽取）随机匹配执法检查人员，每个检查对象抽取不少于 2名检查人员，其中 1 人为组长，组长由相关监管科室负责人确定。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第十七条  抽取的执法检查人员与检查对象有利害关系的，应当申请回避。回避可采取与其他执法检查人员交换检查对象的方式，也可以采取不参与本次检查任务的方式。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第十八条  抽取的执法检查人员原则上不得更换，但因回避、岗位调整、工作冲突、身体健康状况等特殊情况无法继续履行检查任务的，经分管负责人同意后，可以另行在省工作平台上按程序抽取递补检查人员。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第十九条  对涉及专业领域的抽查，可以委托有资质的机构开展检验检测、财务审计、调查咨询等工作，或依法采用有关机构作出的鉴定结论。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第五章  实施抽查检查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第二十条  各监管科室应根据任务生成情况制定抽查检查工作方案，确定检查方式、检查标准和工作流程等，加强对执法检查人员的业务指导。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第二十一条  执法检查人员应认真执行抽查检查工作方案，对照检查标准，依法依规进行检查，不得妨碍被检查对象正常的生产经营活动。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第二十二条  根据实际工作情况，检查可采取实地核查、书面检查、网络监测等方式。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第二十三条  执法检查人员实地核查时，应主动向检查对象出示行政执法证件，发放抽查告知书，告知配合检查的相关要求，并根据检查情况客观、公正填写抽查检查记录表。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第二十四条  执法检查人员通过文字、音像等方式对抽查检查进行全过程记录，制作抽查检查记录，交由被检查对象法定代表人、负责人或其他授权人员签字或盖章确认。检查对象拒绝签字或盖章的，由执法检查人员在检查记录中说明情况，必要时可以邀请有关人员见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第六章  结果公示运用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第二十五条  各监管科室组织执法检查人员在抽查任务完成后 20 个工作日内，将检查结果导入省工作平台，由省工作平台推送至公示系统（山东）公示。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第二十六条  对检查结果有异议的，各监管科室在接到申请材料之日起 20 个工作日内进行复核，经复核确有错误的予以更正，无错误的予以维持。复核结果及时反馈当事人。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第二十七条  对抽查检查发现的问题，按照“谁监管、谁负责”原则，由各监管科室负责依法依规进行处理；对涉及其他职能部门的，及时将违法违规线索移交有关部门；涉嫌犯罪的及时移送司法机关。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第二十八条 严格落实监管职责，对未履行、不当履行或违法履行“双随机、一公开”监管职责的监管科室和执法检查人员，依法依规严肃处理；涉嫌违法犯罪的，移送有关机关依法处理。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第七章  附 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第二十九条 各区市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开发区商务</w:t>
      </w:r>
      <w:r>
        <w:rPr>
          <w:rFonts w:hint="eastAsia" w:ascii="仿宋_GB2312" w:hAnsi="仿宋_GB2312" w:eastAsia="仿宋_GB2312" w:cs="仿宋_GB2312"/>
          <w:sz w:val="32"/>
          <w:szCs w:val="32"/>
        </w:rPr>
        <w:t>部门可参照本细则，结合当地实际，制定本部门“双随机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一公开”监管工作细则。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第三十条  本细则由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经开区商务局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负责解释。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zZGNhZWQ0M2QxOWU4MTlmMTQwMDk5Y2VkYTI2MzcifQ=="/>
  </w:docVars>
  <w:rsids>
    <w:rsidRoot w:val="0CDB45F1"/>
    <w:rsid w:val="0CDB45F1"/>
    <w:rsid w:val="3C11055A"/>
    <w:rsid w:val="5FD60B8C"/>
    <w:rsid w:val="600B5C5E"/>
    <w:rsid w:val="64F073DC"/>
    <w:rsid w:val="75D25EF0"/>
    <w:rsid w:val="77D00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44</TotalTime>
  <ScaleCrop>false</ScaleCrop>
  <LinksUpToDate>false</LinksUpToDate>
  <CharactersWithSpaces>0</CharactersWithSpaces>
  <Application>WPS Office_11.8.6.9023_F1E327BC-269C-435d-A152-05C5408002CA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2023-11-15T09:53:00Z</dcterms:created>
  <dc:creator>Administrator</dc:creator>
  <cp:lastModifiedBy>Administrator</cp:lastModifiedBy>
  <dcterms:modified xsi:type="dcterms:W3CDTF">2024-03-15T11:57:57Z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2052-11.8.6.9023</vt:lpwstr>
  </property>
  <property fmtid="{D5CDD505-2E9C-101B-9397-08002B2CF9AE}" pid="3" name="ICV">
    <vt:lpwstr>95587954343F40E682F91D57F47ABB8D_12</vt:lpwstr>
  </property>
</Properties>
</file>